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9FF65" w14:textId="77777777" w:rsidR="002530FB" w:rsidRDefault="002530FB" w:rsidP="0002777F">
      <w:pPr>
        <w:pStyle w:val="Heading1"/>
      </w:pPr>
      <w:r>
        <w:t>Community consultation feedback and outcome</w:t>
      </w:r>
    </w:p>
    <w:p w14:paraId="0D9B59B4" w14:textId="7AF47883" w:rsidR="00CF4A3E" w:rsidRPr="0002777F" w:rsidRDefault="002530FB" w:rsidP="0002777F">
      <w:pPr>
        <w:pStyle w:val="Heading1"/>
      </w:pPr>
      <w:r>
        <w:t xml:space="preserve">July 2020 </w:t>
      </w:r>
      <w:r w:rsidR="00CF4A3E" w:rsidRPr="0002777F">
        <w:t xml:space="preserve"> </w:t>
      </w:r>
    </w:p>
    <w:p w14:paraId="7640EB9E" w14:textId="77777777" w:rsidR="00D92A58" w:rsidRDefault="00D92A58" w:rsidP="00844886">
      <w:pPr>
        <w:rPr>
          <w:bCs/>
        </w:rPr>
      </w:pPr>
    </w:p>
    <w:p w14:paraId="1174B140" w14:textId="0524F7BE" w:rsidR="00844886" w:rsidRPr="00844886" w:rsidRDefault="00844886" w:rsidP="00844886">
      <w:pPr>
        <w:rPr>
          <w:bCs/>
        </w:rPr>
      </w:pPr>
      <w:r w:rsidRPr="00844886">
        <w:rPr>
          <w:bCs/>
        </w:rPr>
        <w:t xml:space="preserve">In 2020 the Australian Digital Inclusion project team sought feedback on a reimagined Australian Digital Inclusion Index. Submissions closed 13 March 2020. </w:t>
      </w:r>
    </w:p>
    <w:p w14:paraId="44C0AEA8" w14:textId="77777777" w:rsidR="00844886" w:rsidRPr="00844886" w:rsidRDefault="00844886" w:rsidP="00844886">
      <w:pPr>
        <w:rPr>
          <w:bCs/>
        </w:rPr>
      </w:pPr>
    </w:p>
    <w:p w14:paraId="45F5EBFD" w14:textId="77777777" w:rsidR="00D64968" w:rsidRPr="00844886" w:rsidRDefault="00844886" w:rsidP="00844886">
      <w:r w:rsidRPr="00844886">
        <w:t xml:space="preserve">Feedback was received from the following stakeholders: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D64968" w14:paraId="2A72EC76" w14:textId="77777777" w:rsidTr="00620FB0">
        <w:tc>
          <w:tcPr>
            <w:tcW w:w="4505" w:type="dxa"/>
          </w:tcPr>
          <w:p w14:paraId="188A592E" w14:textId="76540B89" w:rsidR="00D64968" w:rsidRDefault="00D64968" w:rsidP="00620FB0">
            <w:pPr>
              <w:pStyle w:val="ListParagraph"/>
              <w:numPr>
                <w:ilvl w:val="0"/>
                <w:numId w:val="2"/>
              </w:numPr>
              <w:spacing w:line="360" w:lineRule="auto"/>
            </w:pPr>
            <w:r>
              <w:t xml:space="preserve">Australian Communications Consumer Action Network </w:t>
            </w:r>
          </w:p>
        </w:tc>
        <w:tc>
          <w:tcPr>
            <w:tcW w:w="4505" w:type="dxa"/>
          </w:tcPr>
          <w:p w14:paraId="0E8BF642" w14:textId="0967A479" w:rsidR="00D64968" w:rsidRDefault="00D64968" w:rsidP="00620FB0">
            <w:pPr>
              <w:pStyle w:val="ListParagraph"/>
              <w:numPr>
                <w:ilvl w:val="0"/>
                <w:numId w:val="2"/>
              </w:numPr>
              <w:spacing w:line="360" w:lineRule="auto"/>
            </w:pPr>
            <w:r>
              <w:t>Adult Learning Australia</w:t>
            </w:r>
          </w:p>
        </w:tc>
      </w:tr>
      <w:tr w:rsidR="00620FB0" w14:paraId="1941F75C" w14:textId="77777777" w:rsidTr="00620FB0">
        <w:tc>
          <w:tcPr>
            <w:tcW w:w="4505" w:type="dxa"/>
          </w:tcPr>
          <w:p w14:paraId="216BBA0A" w14:textId="542226C7" w:rsidR="00620FB0" w:rsidRDefault="00620FB0" w:rsidP="00620FB0">
            <w:pPr>
              <w:pStyle w:val="ListParagraph"/>
              <w:numPr>
                <w:ilvl w:val="0"/>
                <w:numId w:val="2"/>
              </w:numPr>
              <w:spacing w:line="360" w:lineRule="auto"/>
            </w:pPr>
            <w:r>
              <w:t xml:space="preserve">Australian Library &amp; Information Association </w:t>
            </w:r>
          </w:p>
        </w:tc>
        <w:tc>
          <w:tcPr>
            <w:tcW w:w="4505" w:type="dxa"/>
          </w:tcPr>
          <w:p w14:paraId="3CCCD631" w14:textId="2B76052F" w:rsidR="00620FB0" w:rsidRDefault="00620FB0" w:rsidP="00620FB0">
            <w:pPr>
              <w:pStyle w:val="ListParagraph"/>
              <w:numPr>
                <w:ilvl w:val="0"/>
                <w:numId w:val="2"/>
              </w:numPr>
              <w:spacing w:line="360" w:lineRule="auto"/>
            </w:pPr>
            <w:r>
              <w:t>Digital Capability Development Unit (Queensland Government)</w:t>
            </w:r>
          </w:p>
        </w:tc>
      </w:tr>
      <w:tr w:rsidR="00620FB0" w14:paraId="2EBCCF5E" w14:textId="77777777" w:rsidTr="00620FB0">
        <w:tc>
          <w:tcPr>
            <w:tcW w:w="4505" w:type="dxa"/>
          </w:tcPr>
          <w:p w14:paraId="558A6028" w14:textId="46939023" w:rsidR="00620FB0" w:rsidRDefault="00620FB0" w:rsidP="00620FB0">
            <w:pPr>
              <w:pStyle w:val="ListParagraph"/>
              <w:numPr>
                <w:ilvl w:val="0"/>
                <w:numId w:val="2"/>
              </w:numPr>
              <w:spacing w:line="360" w:lineRule="auto"/>
            </w:pPr>
            <w:r>
              <w:t>Digital Futures (Tasmanian Government)</w:t>
            </w:r>
          </w:p>
        </w:tc>
        <w:tc>
          <w:tcPr>
            <w:tcW w:w="4505" w:type="dxa"/>
          </w:tcPr>
          <w:p w14:paraId="3897B30D" w14:textId="7ADE544B" w:rsidR="00620FB0" w:rsidRDefault="00620FB0" w:rsidP="00620FB0">
            <w:pPr>
              <w:pStyle w:val="ListParagraph"/>
              <w:numPr>
                <w:ilvl w:val="0"/>
                <w:numId w:val="2"/>
              </w:numPr>
              <w:spacing w:line="360" w:lineRule="auto"/>
            </w:pPr>
            <w:r>
              <w:t xml:space="preserve">Good Things Foundation Australia </w:t>
            </w:r>
          </w:p>
        </w:tc>
      </w:tr>
      <w:tr w:rsidR="00620FB0" w14:paraId="139BBD5E" w14:textId="77777777" w:rsidTr="00620FB0">
        <w:tc>
          <w:tcPr>
            <w:tcW w:w="4505" w:type="dxa"/>
          </w:tcPr>
          <w:p w14:paraId="59A64870" w14:textId="77777777" w:rsidR="00620FB0" w:rsidRDefault="00620FB0" w:rsidP="00620FB0">
            <w:pPr>
              <w:pStyle w:val="ListParagraph"/>
              <w:numPr>
                <w:ilvl w:val="0"/>
                <w:numId w:val="2"/>
              </w:numPr>
              <w:spacing w:line="360" w:lineRule="auto"/>
            </w:pPr>
            <w:proofErr w:type="spellStart"/>
            <w:r>
              <w:t>Infoxchange</w:t>
            </w:r>
            <w:proofErr w:type="spellEnd"/>
          </w:p>
          <w:p w14:paraId="6F0B1814" w14:textId="395A561C" w:rsidR="004F248E" w:rsidRDefault="004F248E" w:rsidP="004F248E">
            <w:pPr>
              <w:pStyle w:val="ListParagraph"/>
              <w:spacing w:line="360" w:lineRule="auto"/>
            </w:pPr>
          </w:p>
        </w:tc>
        <w:tc>
          <w:tcPr>
            <w:tcW w:w="4505" w:type="dxa"/>
          </w:tcPr>
          <w:p w14:paraId="17A798C0" w14:textId="2501C17D" w:rsidR="00620FB0" w:rsidRDefault="00620FB0" w:rsidP="00620FB0">
            <w:pPr>
              <w:pStyle w:val="ListParagraph"/>
              <w:numPr>
                <w:ilvl w:val="0"/>
                <w:numId w:val="2"/>
              </w:numPr>
              <w:spacing w:line="360" w:lineRule="auto"/>
            </w:pPr>
            <w:r>
              <w:t>LEEP</w:t>
            </w:r>
          </w:p>
        </w:tc>
      </w:tr>
      <w:tr w:rsidR="00620FB0" w14:paraId="7786D609" w14:textId="77777777" w:rsidTr="00620FB0">
        <w:tc>
          <w:tcPr>
            <w:tcW w:w="4505" w:type="dxa"/>
          </w:tcPr>
          <w:p w14:paraId="1EED7DA8" w14:textId="50237311" w:rsidR="00620FB0" w:rsidRDefault="00620FB0" w:rsidP="00620FB0">
            <w:pPr>
              <w:pStyle w:val="ListParagraph"/>
              <w:numPr>
                <w:ilvl w:val="0"/>
                <w:numId w:val="2"/>
              </w:numPr>
              <w:spacing w:line="360" w:lineRule="auto"/>
            </w:pPr>
            <w:r>
              <w:t>Low Income Measures Assessment Committee</w:t>
            </w:r>
          </w:p>
        </w:tc>
        <w:tc>
          <w:tcPr>
            <w:tcW w:w="4505" w:type="dxa"/>
          </w:tcPr>
          <w:p w14:paraId="17FA471D" w14:textId="045929F3" w:rsidR="00620FB0" w:rsidRDefault="00620FB0" w:rsidP="00620FB0">
            <w:pPr>
              <w:pStyle w:val="ListParagraph"/>
              <w:numPr>
                <w:ilvl w:val="0"/>
                <w:numId w:val="2"/>
              </w:numPr>
              <w:spacing w:line="360" w:lineRule="auto"/>
            </w:pPr>
            <w:r>
              <w:t xml:space="preserve">Office of the </w:t>
            </w:r>
            <w:proofErr w:type="spellStart"/>
            <w:r>
              <w:t>eSafety</w:t>
            </w:r>
            <w:proofErr w:type="spellEnd"/>
            <w:r>
              <w:t xml:space="preserve"> Commissioner </w:t>
            </w:r>
          </w:p>
        </w:tc>
      </w:tr>
      <w:tr w:rsidR="00620FB0" w14:paraId="222FD0B5" w14:textId="77777777" w:rsidTr="00620FB0">
        <w:tc>
          <w:tcPr>
            <w:tcW w:w="4505" w:type="dxa"/>
          </w:tcPr>
          <w:p w14:paraId="397F3087" w14:textId="77777777" w:rsidR="00620FB0" w:rsidRDefault="00620FB0" w:rsidP="00620FB0">
            <w:pPr>
              <w:pStyle w:val="ListParagraph"/>
              <w:numPr>
                <w:ilvl w:val="0"/>
                <w:numId w:val="2"/>
              </w:numPr>
              <w:spacing w:line="360" w:lineRule="auto"/>
            </w:pPr>
            <w:r>
              <w:t>NBN co</w:t>
            </w:r>
          </w:p>
          <w:p w14:paraId="41A31C40" w14:textId="5B35C97A" w:rsidR="004F248E" w:rsidRDefault="004F248E" w:rsidP="004F248E">
            <w:pPr>
              <w:pStyle w:val="ListParagraph"/>
              <w:spacing w:line="360" w:lineRule="auto"/>
            </w:pPr>
          </w:p>
        </w:tc>
        <w:tc>
          <w:tcPr>
            <w:tcW w:w="4505" w:type="dxa"/>
          </w:tcPr>
          <w:p w14:paraId="297FAD80" w14:textId="5E05CFD2" w:rsidR="00620FB0" w:rsidRDefault="00620FB0" w:rsidP="00620FB0">
            <w:pPr>
              <w:pStyle w:val="ListParagraph"/>
              <w:numPr>
                <w:ilvl w:val="0"/>
                <w:numId w:val="2"/>
              </w:numPr>
              <w:spacing w:line="360" w:lineRule="auto"/>
            </w:pPr>
            <w:r>
              <w:t>Public Libraries South Australia</w:t>
            </w:r>
          </w:p>
        </w:tc>
      </w:tr>
      <w:tr w:rsidR="00620FB0" w14:paraId="570FA856" w14:textId="77777777" w:rsidTr="00620FB0">
        <w:tc>
          <w:tcPr>
            <w:tcW w:w="4505" w:type="dxa"/>
          </w:tcPr>
          <w:p w14:paraId="073B87FD" w14:textId="632EC941" w:rsidR="00620FB0" w:rsidRDefault="00620FB0" w:rsidP="00620FB0">
            <w:pPr>
              <w:pStyle w:val="ListParagraph"/>
              <w:numPr>
                <w:ilvl w:val="0"/>
                <w:numId w:val="2"/>
              </w:numPr>
              <w:spacing w:line="360" w:lineRule="auto"/>
            </w:pPr>
            <w:r>
              <w:t xml:space="preserve">Digital Media Research Centre, QUT </w:t>
            </w:r>
          </w:p>
        </w:tc>
        <w:tc>
          <w:tcPr>
            <w:tcW w:w="4505" w:type="dxa"/>
          </w:tcPr>
          <w:p w14:paraId="11DC9A14" w14:textId="12B39511" w:rsidR="00620FB0" w:rsidRDefault="00620FB0" w:rsidP="00620FB0">
            <w:pPr>
              <w:pStyle w:val="ListParagraph"/>
              <w:numPr>
                <w:ilvl w:val="0"/>
                <w:numId w:val="2"/>
              </w:numPr>
              <w:spacing w:line="360" w:lineRule="auto"/>
            </w:pPr>
            <w:r>
              <w:t xml:space="preserve">South Australian Council of Social Services </w:t>
            </w:r>
          </w:p>
        </w:tc>
      </w:tr>
      <w:tr w:rsidR="00620FB0" w14:paraId="2C310790" w14:textId="77777777" w:rsidTr="00620FB0">
        <w:tc>
          <w:tcPr>
            <w:tcW w:w="4505" w:type="dxa"/>
          </w:tcPr>
          <w:p w14:paraId="13BF2BCE" w14:textId="3652A68E" w:rsidR="00620FB0" w:rsidRDefault="00620FB0" w:rsidP="00620FB0">
            <w:pPr>
              <w:pStyle w:val="ListParagraph"/>
              <w:numPr>
                <w:ilvl w:val="0"/>
                <w:numId w:val="2"/>
              </w:numPr>
              <w:spacing w:line="360" w:lineRule="auto"/>
            </w:pPr>
            <w:r>
              <w:t xml:space="preserve">State Library of Queensland </w:t>
            </w:r>
          </w:p>
        </w:tc>
        <w:tc>
          <w:tcPr>
            <w:tcW w:w="4505" w:type="dxa"/>
          </w:tcPr>
          <w:p w14:paraId="28003D01" w14:textId="7B1D6600" w:rsidR="00620FB0" w:rsidRDefault="00620FB0" w:rsidP="00620FB0">
            <w:pPr>
              <w:pStyle w:val="ListParagraph"/>
              <w:numPr>
                <w:ilvl w:val="0"/>
                <w:numId w:val="2"/>
              </w:numPr>
              <w:spacing w:line="360" w:lineRule="auto"/>
            </w:pPr>
            <w:r>
              <w:t>Tasmanian Council of Social Services</w:t>
            </w:r>
          </w:p>
        </w:tc>
      </w:tr>
      <w:tr w:rsidR="00620FB0" w14:paraId="3C1A3EB6" w14:textId="77777777" w:rsidTr="00620FB0">
        <w:tc>
          <w:tcPr>
            <w:tcW w:w="4505" w:type="dxa"/>
          </w:tcPr>
          <w:p w14:paraId="31A0D47D" w14:textId="77777777" w:rsidR="00620FB0" w:rsidRDefault="00620FB0" w:rsidP="00620FB0">
            <w:pPr>
              <w:pStyle w:val="ListParagraph"/>
              <w:numPr>
                <w:ilvl w:val="0"/>
                <w:numId w:val="2"/>
              </w:numPr>
              <w:spacing w:line="360" w:lineRule="auto"/>
            </w:pPr>
            <w:r>
              <w:t xml:space="preserve">The Smith Family </w:t>
            </w:r>
          </w:p>
          <w:p w14:paraId="20E4C5FE" w14:textId="14EBB58E" w:rsidR="00E94F49" w:rsidRDefault="00E94F49" w:rsidP="00E94F49">
            <w:pPr>
              <w:pStyle w:val="ListParagraph"/>
              <w:spacing w:line="360" w:lineRule="auto"/>
            </w:pPr>
          </w:p>
        </w:tc>
        <w:tc>
          <w:tcPr>
            <w:tcW w:w="4505" w:type="dxa"/>
          </w:tcPr>
          <w:p w14:paraId="038C6563" w14:textId="3BB2F6E9" w:rsidR="00620FB0" w:rsidRDefault="00620FB0" w:rsidP="00620FB0">
            <w:pPr>
              <w:pStyle w:val="ListParagraph"/>
              <w:numPr>
                <w:ilvl w:val="0"/>
                <w:numId w:val="2"/>
              </w:numPr>
              <w:spacing w:line="360" w:lineRule="auto"/>
            </w:pPr>
            <w:r>
              <w:t xml:space="preserve">The University of Sydney </w:t>
            </w:r>
          </w:p>
        </w:tc>
      </w:tr>
      <w:tr w:rsidR="00620FB0" w14:paraId="5194E3C8" w14:textId="77777777" w:rsidTr="00620FB0">
        <w:tc>
          <w:tcPr>
            <w:tcW w:w="4505" w:type="dxa"/>
          </w:tcPr>
          <w:p w14:paraId="2BDD7EDF" w14:textId="04FDEE99" w:rsidR="00620FB0" w:rsidRDefault="00620FB0" w:rsidP="00620FB0">
            <w:pPr>
              <w:pStyle w:val="ListParagraph"/>
              <w:numPr>
                <w:ilvl w:val="0"/>
                <w:numId w:val="2"/>
              </w:numPr>
              <w:spacing w:line="360" w:lineRule="auto"/>
            </w:pPr>
            <w:r>
              <w:t>Western Australian Office of Digital Government</w:t>
            </w:r>
          </w:p>
        </w:tc>
        <w:tc>
          <w:tcPr>
            <w:tcW w:w="4505" w:type="dxa"/>
          </w:tcPr>
          <w:p w14:paraId="6B590800" w14:textId="078A7A1D" w:rsidR="00620FB0" w:rsidRDefault="00620FB0" w:rsidP="00620FB0">
            <w:pPr>
              <w:pStyle w:val="ListParagraph"/>
              <w:numPr>
                <w:ilvl w:val="0"/>
                <w:numId w:val="2"/>
              </w:numPr>
              <w:spacing w:line="360" w:lineRule="auto"/>
            </w:pPr>
            <w:r>
              <w:t xml:space="preserve">Western Sydney University </w:t>
            </w:r>
          </w:p>
        </w:tc>
      </w:tr>
    </w:tbl>
    <w:p w14:paraId="092E94C4" w14:textId="66B196E0" w:rsidR="00C55035" w:rsidRPr="00844886" w:rsidRDefault="00C55035" w:rsidP="00844886"/>
    <w:p w14:paraId="79F75593" w14:textId="77777777" w:rsidR="00844886" w:rsidRPr="00844886" w:rsidRDefault="00844886" w:rsidP="00844886">
      <w:r w:rsidRPr="00844886">
        <w:t xml:space="preserve">This document summarises the feedback received, and details how that feedback has informed the ADII 2.0. </w:t>
      </w:r>
    </w:p>
    <w:p w14:paraId="35AA9298" w14:textId="209AF259" w:rsidR="00BB0DDE" w:rsidRDefault="00844886" w:rsidP="00844886">
      <w:r w:rsidRPr="00844886">
        <w:br w:type="page"/>
      </w:r>
    </w:p>
    <w:p w14:paraId="5E1ADF80" w14:textId="47FD2617" w:rsidR="002248C2" w:rsidRPr="002248C2" w:rsidRDefault="002248C2" w:rsidP="002248C2"/>
    <w:tbl>
      <w:tblPr>
        <w:tblStyle w:val="PlainTable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3770"/>
        <w:gridCol w:w="3766"/>
      </w:tblGrid>
      <w:tr w:rsidR="00CA50D0" w:rsidRPr="009B0066" w14:paraId="0309D207" w14:textId="77777777" w:rsidTr="00415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1BF70B82" w14:textId="77777777" w:rsidR="00CA50D0" w:rsidRPr="00EF78D6" w:rsidRDefault="00CA50D0" w:rsidP="00415F94">
            <w:pPr>
              <w:spacing w:line="276" w:lineRule="auto"/>
              <w:jc w:val="center"/>
              <w:rPr>
                <w:bCs w:val="0"/>
                <w:color w:val="9E0240"/>
                <w:sz w:val="32"/>
                <w:szCs w:val="32"/>
              </w:rPr>
            </w:pPr>
            <w:r w:rsidRPr="00EF78D6">
              <w:rPr>
                <w:bCs w:val="0"/>
                <w:color w:val="9E0240"/>
                <w:sz w:val="32"/>
                <w:szCs w:val="32"/>
              </w:rPr>
              <w:t>TOPIC</w:t>
            </w:r>
          </w:p>
        </w:tc>
        <w:tc>
          <w:tcPr>
            <w:tcW w:w="1803" w:type="pct"/>
          </w:tcPr>
          <w:p w14:paraId="6F814899" w14:textId="77777777" w:rsidR="00CA50D0" w:rsidRPr="00EF78D6" w:rsidRDefault="00CA50D0" w:rsidP="00415F94">
            <w:pPr>
              <w:spacing w:line="276" w:lineRule="auto"/>
              <w:jc w:val="center"/>
              <w:cnfStyle w:val="100000000000" w:firstRow="1" w:lastRow="0" w:firstColumn="0" w:lastColumn="0" w:oddVBand="0" w:evenVBand="0" w:oddHBand="0" w:evenHBand="0" w:firstRowFirstColumn="0" w:firstRowLastColumn="0" w:lastRowFirstColumn="0" w:lastRowLastColumn="0"/>
              <w:rPr>
                <w:bCs w:val="0"/>
                <w:color w:val="9E0240"/>
                <w:sz w:val="32"/>
                <w:szCs w:val="32"/>
              </w:rPr>
            </w:pPr>
            <w:r w:rsidRPr="00EF78D6">
              <w:rPr>
                <w:bCs w:val="0"/>
                <w:color w:val="9E0240"/>
                <w:sz w:val="32"/>
                <w:szCs w:val="32"/>
              </w:rPr>
              <w:t>FEEDBACK</w:t>
            </w:r>
          </w:p>
        </w:tc>
        <w:tc>
          <w:tcPr>
            <w:tcW w:w="1801" w:type="pct"/>
          </w:tcPr>
          <w:p w14:paraId="4DCB15A2" w14:textId="77777777" w:rsidR="00CA50D0" w:rsidRPr="00EF78D6" w:rsidRDefault="00CA50D0" w:rsidP="00415F94">
            <w:pPr>
              <w:spacing w:line="276" w:lineRule="auto"/>
              <w:jc w:val="center"/>
              <w:cnfStyle w:val="100000000000" w:firstRow="1" w:lastRow="0" w:firstColumn="0" w:lastColumn="0" w:oddVBand="0" w:evenVBand="0" w:oddHBand="0" w:evenHBand="0" w:firstRowFirstColumn="0" w:firstRowLastColumn="0" w:lastRowFirstColumn="0" w:lastRowLastColumn="0"/>
              <w:rPr>
                <w:bCs w:val="0"/>
                <w:color w:val="9E0240"/>
                <w:sz w:val="32"/>
                <w:szCs w:val="32"/>
              </w:rPr>
            </w:pPr>
            <w:r w:rsidRPr="00EF78D6">
              <w:rPr>
                <w:bCs w:val="0"/>
                <w:color w:val="9E0240"/>
                <w:sz w:val="32"/>
                <w:szCs w:val="32"/>
              </w:rPr>
              <w:t>RESPONSE</w:t>
            </w:r>
          </w:p>
        </w:tc>
      </w:tr>
      <w:tr w:rsidR="00CA50D0" w:rsidRPr="009B0066" w14:paraId="574385F0" w14:textId="77777777" w:rsidTr="00415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2ACB18C8" w14:textId="77777777" w:rsidR="00CA50D0" w:rsidRPr="009B0066" w:rsidRDefault="00CA50D0" w:rsidP="00415F94">
            <w:pPr>
              <w:spacing w:line="276" w:lineRule="auto"/>
              <w:rPr>
                <w:sz w:val="22"/>
                <w:szCs w:val="22"/>
              </w:rPr>
            </w:pPr>
            <w:r>
              <w:rPr>
                <w:sz w:val="22"/>
                <w:szCs w:val="22"/>
              </w:rPr>
              <w:t>INDEX ARCHITECTURE</w:t>
            </w:r>
          </w:p>
        </w:tc>
        <w:tc>
          <w:tcPr>
            <w:tcW w:w="1803" w:type="pct"/>
          </w:tcPr>
          <w:p w14:paraId="4C827A03"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801" w:type="pct"/>
          </w:tcPr>
          <w:p w14:paraId="448FAF43"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CA50D0" w:rsidRPr="009B0066" w14:paraId="69E1D8F1" w14:textId="77777777" w:rsidTr="00415F94">
        <w:tc>
          <w:tcPr>
            <w:cnfStyle w:val="001000000000" w:firstRow="0" w:lastRow="0" w:firstColumn="1" w:lastColumn="0" w:oddVBand="0" w:evenVBand="0" w:oddHBand="0" w:evenHBand="0" w:firstRowFirstColumn="0" w:firstRowLastColumn="0" w:lastRowFirstColumn="0" w:lastRowLastColumn="0"/>
            <w:tcW w:w="1396" w:type="pct"/>
          </w:tcPr>
          <w:p w14:paraId="547637E8" w14:textId="77777777" w:rsidR="00CA50D0" w:rsidRPr="009B0066" w:rsidRDefault="00CA50D0" w:rsidP="00415F94">
            <w:pPr>
              <w:spacing w:line="276" w:lineRule="auto"/>
              <w:rPr>
                <w:b w:val="0"/>
                <w:sz w:val="22"/>
                <w:szCs w:val="22"/>
              </w:rPr>
            </w:pPr>
            <w:r w:rsidRPr="009B0066">
              <w:rPr>
                <w:b w:val="0"/>
                <w:sz w:val="22"/>
                <w:szCs w:val="22"/>
              </w:rPr>
              <w:t xml:space="preserve">Should the ADII 2.0 include emerging technologies? </w:t>
            </w:r>
          </w:p>
        </w:tc>
        <w:tc>
          <w:tcPr>
            <w:tcW w:w="1803" w:type="pct"/>
          </w:tcPr>
          <w:p w14:paraId="564B9273"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B0066">
              <w:rPr>
                <w:sz w:val="22"/>
                <w:szCs w:val="22"/>
              </w:rPr>
              <w:t xml:space="preserve">Yes. Stakeholders specifically highlighted the benefits emerging personal digital access technologies can provide people with disabilities. </w:t>
            </w:r>
          </w:p>
        </w:tc>
        <w:tc>
          <w:tcPr>
            <w:tcW w:w="1801" w:type="pct"/>
          </w:tcPr>
          <w:p w14:paraId="2C3E3772"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B0066">
              <w:rPr>
                <w:sz w:val="22"/>
                <w:szCs w:val="22"/>
              </w:rPr>
              <w:t xml:space="preserve">ADII 2.0 captures data about individual access to and use of emerging personal technologies such as voice-controlled speakers and smartwatches. </w:t>
            </w:r>
          </w:p>
        </w:tc>
      </w:tr>
      <w:tr w:rsidR="00CA50D0" w:rsidRPr="009B0066" w14:paraId="7C825E86" w14:textId="77777777" w:rsidTr="00415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tcPr>
          <w:p w14:paraId="184C8F2A" w14:textId="77777777" w:rsidR="00CA50D0" w:rsidRPr="009B0066" w:rsidRDefault="00CA50D0" w:rsidP="00415F94">
            <w:pPr>
              <w:spacing w:line="276" w:lineRule="auto"/>
              <w:rPr>
                <w:b w:val="0"/>
                <w:sz w:val="22"/>
                <w:szCs w:val="22"/>
              </w:rPr>
            </w:pPr>
            <w:r w:rsidRPr="009B0066">
              <w:rPr>
                <w:b w:val="0"/>
                <w:sz w:val="22"/>
                <w:szCs w:val="22"/>
              </w:rPr>
              <w:t xml:space="preserve">Is data allowance a relevant measure of personal access given the rise of ‘unlimited’ plans? </w:t>
            </w:r>
          </w:p>
        </w:tc>
        <w:tc>
          <w:tcPr>
            <w:tcW w:w="1803" w:type="pct"/>
            <w:shd w:val="clear" w:color="auto" w:fill="auto"/>
          </w:tcPr>
          <w:p w14:paraId="4C1CEA2A"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B0066">
              <w:rPr>
                <w:sz w:val="22"/>
                <w:szCs w:val="22"/>
              </w:rPr>
              <w:t xml:space="preserve">Yes. Although ‘unlimited’ plans are increasing, they are not an enabler of digital inclusion for all. </w:t>
            </w:r>
          </w:p>
        </w:tc>
        <w:tc>
          <w:tcPr>
            <w:tcW w:w="1801" w:type="pct"/>
            <w:shd w:val="clear" w:color="auto" w:fill="auto"/>
          </w:tcPr>
          <w:p w14:paraId="0C503809"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B0066">
              <w:rPr>
                <w:sz w:val="22"/>
                <w:szCs w:val="22"/>
              </w:rPr>
              <w:t xml:space="preserve">ADII 2.0 continues to capture data about data allowance. </w:t>
            </w:r>
          </w:p>
        </w:tc>
      </w:tr>
      <w:tr w:rsidR="00CA50D0" w:rsidRPr="009B0066" w14:paraId="64D1FDE5" w14:textId="77777777" w:rsidTr="00415F94">
        <w:tc>
          <w:tcPr>
            <w:cnfStyle w:val="001000000000" w:firstRow="0" w:lastRow="0" w:firstColumn="1" w:lastColumn="0" w:oddVBand="0" w:evenVBand="0" w:oddHBand="0" w:evenHBand="0" w:firstRowFirstColumn="0" w:firstRowLastColumn="0" w:lastRowFirstColumn="0" w:lastRowLastColumn="0"/>
            <w:tcW w:w="1396" w:type="pct"/>
            <w:shd w:val="clear" w:color="auto" w:fill="auto"/>
          </w:tcPr>
          <w:p w14:paraId="30712FCB" w14:textId="77777777" w:rsidR="00CA50D0" w:rsidRPr="009B0066" w:rsidRDefault="00CA50D0" w:rsidP="00415F94">
            <w:pPr>
              <w:spacing w:line="276" w:lineRule="auto"/>
              <w:rPr>
                <w:b w:val="0"/>
                <w:sz w:val="22"/>
                <w:szCs w:val="22"/>
              </w:rPr>
            </w:pPr>
            <w:r w:rsidRPr="009B0066">
              <w:rPr>
                <w:b w:val="0"/>
                <w:sz w:val="22"/>
                <w:szCs w:val="22"/>
              </w:rPr>
              <w:t xml:space="preserve">Does 5G access indicate higher quality mobile internet access? </w:t>
            </w:r>
          </w:p>
        </w:tc>
        <w:tc>
          <w:tcPr>
            <w:tcW w:w="1803" w:type="pct"/>
            <w:shd w:val="clear" w:color="auto" w:fill="auto"/>
          </w:tcPr>
          <w:p w14:paraId="014354FE"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B0066">
              <w:rPr>
                <w:sz w:val="22"/>
                <w:szCs w:val="22"/>
              </w:rPr>
              <w:t xml:space="preserve">Yes. However, stakeholders cautioned that 5G could be a proxy for wealth and/or other privilege(s). </w:t>
            </w:r>
          </w:p>
        </w:tc>
        <w:tc>
          <w:tcPr>
            <w:tcW w:w="1801" w:type="pct"/>
            <w:shd w:val="clear" w:color="auto" w:fill="auto"/>
          </w:tcPr>
          <w:p w14:paraId="0F204A60"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B0066">
              <w:rPr>
                <w:sz w:val="22"/>
                <w:szCs w:val="22"/>
              </w:rPr>
              <w:t xml:space="preserve">ADII 2.0 captures data about 5G access. </w:t>
            </w:r>
          </w:p>
        </w:tc>
      </w:tr>
      <w:tr w:rsidR="00CA50D0" w:rsidRPr="009B0066" w14:paraId="452610CF" w14:textId="77777777" w:rsidTr="00415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tcPr>
          <w:p w14:paraId="6706284C" w14:textId="77777777" w:rsidR="00CA50D0" w:rsidRPr="009B0066" w:rsidRDefault="00CA50D0" w:rsidP="00415F94">
            <w:pPr>
              <w:spacing w:line="276" w:lineRule="auto"/>
              <w:rPr>
                <w:b w:val="0"/>
                <w:sz w:val="22"/>
                <w:szCs w:val="22"/>
              </w:rPr>
            </w:pPr>
            <w:r w:rsidRPr="009B0066">
              <w:rPr>
                <w:b w:val="0"/>
                <w:sz w:val="22"/>
                <w:szCs w:val="22"/>
              </w:rPr>
              <w:t xml:space="preserve">What digital skills are most important today? </w:t>
            </w:r>
          </w:p>
        </w:tc>
        <w:tc>
          <w:tcPr>
            <w:tcW w:w="1803" w:type="pct"/>
            <w:shd w:val="clear" w:color="auto" w:fill="auto"/>
          </w:tcPr>
          <w:p w14:paraId="7244D58E"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B0066">
              <w:rPr>
                <w:sz w:val="22"/>
                <w:szCs w:val="22"/>
              </w:rPr>
              <w:t xml:space="preserve">Stakeholders highlighted issues of online safety (including privacy and scam awareness). </w:t>
            </w:r>
          </w:p>
          <w:p w14:paraId="55C1A2A5"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p w14:paraId="008969BD"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B0066">
              <w:rPr>
                <w:sz w:val="22"/>
                <w:szCs w:val="22"/>
              </w:rPr>
              <w:t xml:space="preserve">Stakeholders also highlighted the need for a digital skills framework to unify digital inclusion efforts nationally. </w:t>
            </w:r>
          </w:p>
        </w:tc>
        <w:tc>
          <w:tcPr>
            <w:tcW w:w="1801" w:type="pct"/>
            <w:shd w:val="clear" w:color="auto" w:fill="auto"/>
          </w:tcPr>
          <w:p w14:paraId="32AA2A50"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B0066">
              <w:rPr>
                <w:sz w:val="22"/>
                <w:szCs w:val="22"/>
              </w:rPr>
              <w:t xml:space="preserve">ADII 2.0 Digital Ability measures are based on the Internet Skills Survey developed by researchers at the London School of Economics. This will dramatically enhance the value of ADII 2.0 data by allowing international comparability. </w:t>
            </w:r>
          </w:p>
        </w:tc>
      </w:tr>
      <w:tr w:rsidR="00CA50D0" w:rsidRPr="009B0066" w14:paraId="58179A9D" w14:textId="77777777" w:rsidTr="00415F94">
        <w:tc>
          <w:tcPr>
            <w:cnfStyle w:val="001000000000" w:firstRow="0" w:lastRow="0" w:firstColumn="1" w:lastColumn="0" w:oddVBand="0" w:evenVBand="0" w:oddHBand="0" w:evenHBand="0" w:firstRowFirstColumn="0" w:firstRowLastColumn="0" w:lastRowFirstColumn="0" w:lastRowLastColumn="0"/>
            <w:tcW w:w="1396" w:type="pct"/>
          </w:tcPr>
          <w:p w14:paraId="605FC10F" w14:textId="77777777" w:rsidR="00CA50D0" w:rsidRPr="009B0066" w:rsidRDefault="00CA50D0" w:rsidP="00415F94">
            <w:pPr>
              <w:spacing w:line="276" w:lineRule="auto"/>
              <w:rPr>
                <w:b w:val="0"/>
                <w:sz w:val="22"/>
                <w:szCs w:val="22"/>
              </w:rPr>
            </w:pPr>
            <w:r w:rsidRPr="009B0066">
              <w:rPr>
                <w:b w:val="0"/>
                <w:sz w:val="22"/>
                <w:szCs w:val="22"/>
              </w:rPr>
              <w:t>How useful would an evaluation tool based on the ADII 2.0 be?</w:t>
            </w:r>
          </w:p>
        </w:tc>
        <w:tc>
          <w:tcPr>
            <w:tcW w:w="1803" w:type="pct"/>
          </w:tcPr>
          <w:p w14:paraId="547E352A"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B0066">
              <w:rPr>
                <w:sz w:val="22"/>
                <w:szCs w:val="22"/>
              </w:rPr>
              <w:t xml:space="preserve">This would be useful but would need to consider the differing duration of digital skills programs. </w:t>
            </w:r>
          </w:p>
        </w:tc>
        <w:tc>
          <w:tcPr>
            <w:tcW w:w="1801" w:type="pct"/>
          </w:tcPr>
          <w:p w14:paraId="08CA6880"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54102D">
              <w:rPr>
                <w:sz w:val="22"/>
                <w:szCs w:val="22"/>
              </w:rPr>
              <w:t>Noted</w:t>
            </w:r>
            <w:r>
              <w:rPr>
                <w:sz w:val="22"/>
                <w:szCs w:val="22"/>
              </w:rPr>
              <w:t>. The tool is still to be scoped.</w:t>
            </w:r>
          </w:p>
        </w:tc>
      </w:tr>
      <w:tr w:rsidR="00CA50D0" w:rsidRPr="009B0066" w14:paraId="6E7D3327" w14:textId="77777777" w:rsidTr="00415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1C936802" w14:textId="77777777" w:rsidR="00CA50D0" w:rsidRPr="009B0066" w:rsidRDefault="00CA50D0" w:rsidP="00415F94">
            <w:pPr>
              <w:spacing w:line="276" w:lineRule="auto"/>
              <w:rPr>
                <w:sz w:val="22"/>
                <w:szCs w:val="22"/>
              </w:rPr>
            </w:pPr>
            <w:r>
              <w:rPr>
                <w:sz w:val="22"/>
                <w:szCs w:val="22"/>
              </w:rPr>
              <w:t>GEOGRAPHIC REPORTING</w:t>
            </w:r>
          </w:p>
        </w:tc>
        <w:tc>
          <w:tcPr>
            <w:tcW w:w="1803" w:type="pct"/>
          </w:tcPr>
          <w:p w14:paraId="5E09C893"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801" w:type="pct"/>
          </w:tcPr>
          <w:p w14:paraId="3860A3EB"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CA50D0" w:rsidRPr="009B0066" w14:paraId="01A8213A" w14:textId="77777777" w:rsidTr="00415F94">
        <w:tc>
          <w:tcPr>
            <w:cnfStyle w:val="001000000000" w:firstRow="0" w:lastRow="0" w:firstColumn="1" w:lastColumn="0" w:oddVBand="0" w:evenVBand="0" w:oddHBand="0" w:evenHBand="0" w:firstRowFirstColumn="0" w:firstRowLastColumn="0" w:lastRowFirstColumn="0" w:lastRowLastColumn="0"/>
            <w:tcW w:w="1396" w:type="pct"/>
          </w:tcPr>
          <w:p w14:paraId="542055A1" w14:textId="77777777" w:rsidR="00CA50D0" w:rsidRPr="009B0066" w:rsidRDefault="00CA50D0" w:rsidP="00415F94">
            <w:pPr>
              <w:spacing w:line="276" w:lineRule="auto"/>
              <w:rPr>
                <w:b w:val="0"/>
                <w:sz w:val="22"/>
                <w:szCs w:val="22"/>
              </w:rPr>
            </w:pPr>
            <w:r w:rsidRPr="009B0066">
              <w:rPr>
                <w:b w:val="0"/>
                <w:sz w:val="22"/>
                <w:szCs w:val="22"/>
              </w:rPr>
              <w:t xml:space="preserve">How important are state/territory scores to users of the Index? </w:t>
            </w:r>
          </w:p>
        </w:tc>
        <w:tc>
          <w:tcPr>
            <w:tcW w:w="1803" w:type="pct"/>
          </w:tcPr>
          <w:p w14:paraId="7781E211"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B0066">
              <w:rPr>
                <w:sz w:val="22"/>
                <w:szCs w:val="22"/>
              </w:rPr>
              <w:t xml:space="preserve">State and territory scores are valuable from an advocacy and funding perspective, and useful for comparing with NBN uptake data. </w:t>
            </w:r>
          </w:p>
          <w:p w14:paraId="4CCAAB8C"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p w14:paraId="1623FFFD"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B0066">
              <w:rPr>
                <w:sz w:val="22"/>
                <w:szCs w:val="22"/>
              </w:rPr>
              <w:t>Stakeholders expressed concern about the impact of sample size on smaller states and territories.</w:t>
            </w:r>
          </w:p>
        </w:tc>
        <w:tc>
          <w:tcPr>
            <w:tcW w:w="1801" w:type="pct"/>
          </w:tcPr>
          <w:p w14:paraId="7E20567C"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B0066">
              <w:rPr>
                <w:sz w:val="22"/>
                <w:szCs w:val="22"/>
              </w:rPr>
              <w:t>ADII 2.0 will retain</w:t>
            </w:r>
            <w:r>
              <w:rPr>
                <w:sz w:val="22"/>
                <w:szCs w:val="22"/>
              </w:rPr>
              <w:t xml:space="preserve"> most</w:t>
            </w:r>
            <w:r w:rsidRPr="009B0066">
              <w:rPr>
                <w:sz w:val="22"/>
                <w:szCs w:val="22"/>
              </w:rPr>
              <w:t xml:space="preserve"> state and territory scores. </w:t>
            </w:r>
          </w:p>
          <w:p w14:paraId="39A2E17C"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p w14:paraId="38B1376D"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w:t>
            </w:r>
            <w:r w:rsidRPr="009B0066">
              <w:rPr>
                <w:sz w:val="22"/>
                <w:szCs w:val="22"/>
              </w:rPr>
              <w:t xml:space="preserve">he </w:t>
            </w:r>
            <w:r>
              <w:rPr>
                <w:sz w:val="22"/>
                <w:szCs w:val="22"/>
              </w:rPr>
              <w:t>sample size for ADII 2.0 is 2,000. S</w:t>
            </w:r>
            <w:r w:rsidRPr="009B0066">
              <w:rPr>
                <w:sz w:val="22"/>
                <w:szCs w:val="22"/>
              </w:rPr>
              <w:t xml:space="preserve">tatistical modelling based on ABS regions will </w:t>
            </w:r>
            <w:r>
              <w:rPr>
                <w:sz w:val="22"/>
                <w:szCs w:val="22"/>
              </w:rPr>
              <w:t xml:space="preserve">provide </w:t>
            </w:r>
            <w:r w:rsidRPr="009B0066">
              <w:rPr>
                <w:sz w:val="22"/>
                <w:szCs w:val="22"/>
              </w:rPr>
              <w:t xml:space="preserve">more granular detail than </w:t>
            </w:r>
            <w:r>
              <w:rPr>
                <w:sz w:val="22"/>
                <w:szCs w:val="22"/>
              </w:rPr>
              <w:t>what was previously available</w:t>
            </w:r>
            <w:r w:rsidRPr="009B0066">
              <w:rPr>
                <w:sz w:val="22"/>
                <w:szCs w:val="22"/>
              </w:rPr>
              <w:t xml:space="preserve">. </w:t>
            </w:r>
          </w:p>
        </w:tc>
      </w:tr>
      <w:tr w:rsidR="00CA50D0" w:rsidRPr="009B0066" w14:paraId="7C23C5E5" w14:textId="77777777" w:rsidTr="00415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tcPr>
          <w:p w14:paraId="2A0F4C45" w14:textId="77777777" w:rsidR="00CA50D0" w:rsidRPr="009B0066" w:rsidRDefault="00CA50D0" w:rsidP="00415F94">
            <w:pPr>
              <w:spacing w:line="276" w:lineRule="auto"/>
              <w:rPr>
                <w:b w:val="0"/>
                <w:sz w:val="22"/>
                <w:szCs w:val="22"/>
              </w:rPr>
            </w:pPr>
            <w:r w:rsidRPr="009B0066">
              <w:rPr>
                <w:b w:val="0"/>
                <w:sz w:val="22"/>
                <w:szCs w:val="22"/>
              </w:rPr>
              <w:t xml:space="preserve">Would you conduct ADII 2.0 surveys or undertake spatial statistical modelling? </w:t>
            </w:r>
          </w:p>
        </w:tc>
        <w:tc>
          <w:tcPr>
            <w:tcW w:w="1803" w:type="pct"/>
            <w:shd w:val="clear" w:color="auto" w:fill="auto"/>
          </w:tcPr>
          <w:p w14:paraId="27EDAE43"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B0066">
              <w:rPr>
                <w:sz w:val="22"/>
                <w:szCs w:val="22"/>
              </w:rPr>
              <w:t xml:space="preserve">Yes. However, stakeholders noted their ability to do so would be constrained by resourcing. </w:t>
            </w:r>
          </w:p>
        </w:tc>
        <w:tc>
          <w:tcPr>
            <w:tcW w:w="1801" w:type="pct"/>
            <w:shd w:val="clear" w:color="auto" w:fill="auto"/>
          </w:tcPr>
          <w:p w14:paraId="64431259"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Noted.</w:t>
            </w:r>
          </w:p>
        </w:tc>
      </w:tr>
      <w:tr w:rsidR="00CA50D0" w:rsidRPr="009B0066" w14:paraId="209481C5" w14:textId="77777777" w:rsidTr="00415F94">
        <w:tc>
          <w:tcPr>
            <w:cnfStyle w:val="001000000000" w:firstRow="0" w:lastRow="0" w:firstColumn="1" w:lastColumn="0" w:oddVBand="0" w:evenVBand="0" w:oddHBand="0" w:evenHBand="0" w:firstRowFirstColumn="0" w:firstRowLastColumn="0" w:lastRowFirstColumn="0" w:lastRowLastColumn="0"/>
            <w:tcW w:w="1396" w:type="pct"/>
          </w:tcPr>
          <w:p w14:paraId="036BD762" w14:textId="77777777" w:rsidR="00CA50D0" w:rsidRPr="009B0066" w:rsidRDefault="00CA50D0" w:rsidP="00415F94">
            <w:pPr>
              <w:spacing w:line="276" w:lineRule="auto"/>
              <w:rPr>
                <w:b w:val="0"/>
                <w:sz w:val="22"/>
                <w:szCs w:val="22"/>
              </w:rPr>
            </w:pPr>
            <w:r w:rsidRPr="009B0066">
              <w:rPr>
                <w:b w:val="0"/>
                <w:sz w:val="22"/>
                <w:szCs w:val="22"/>
              </w:rPr>
              <w:t>Would aligning to ABS regions assist with the usability of the Index?</w:t>
            </w:r>
          </w:p>
        </w:tc>
        <w:tc>
          <w:tcPr>
            <w:tcW w:w="1803" w:type="pct"/>
          </w:tcPr>
          <w:p w14:paraId="5B32815F"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B0066">
              <w:rPr>
                <w:sz w:val="22"/>
                <w:szCs w:val="22"/>
              </w:rPr>
              <w:t xml:space="preserve">Yes. </w:t>
            </w:r>
          </w:p>
        </w:tc>
        <w:tc>
          <w:tcPr>
            <w:tcW w:w="1801" w:type="pct"/>
          </w:tcPr>
          <w:p w14:paraId="3B9A113F"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ADII 2.0 will be aligned with ABS regions.</w:t>
            </w:r>
          </w:p>
        </w:tc>
      </w:tr>
      <w:tr w:rsidR="00CA50D0" w:rsidRPr="009B0066" w14:paraId="32297EDE" w14:textId="77777777" w:rsidTr="00415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7C431AE9" w14:textId="77777777" w:rsidR="00CA50D0" w:rsidRPr="009B0066" w:rsidRDefault="00CA50D0" w:rsidP="00415F94">
            <w:pPr>
              <w:spacing w:line="276" w:lineRule="auto"/>
              <w:rPr>
                <w:sz w:val="22"/>
                <w:szCs w:val="22"/>
              </w:rPr>
            </w:pPr>
            <w:r>
              <w:rPr>
                <w:sz w:val="22"/>
                <w:szCs w:val="22"/>
              </w:rPr>
              <w:lastRenderedPageBreak/>
              <w:t>DEMOGRAHIC COHORT REPORTING</w:t>
            </w:r>
          </w:p>
        </w:tc>
        <w:tc>
          <w:tcPr>
            <w:tcW w:w="1803" w:type="pct"/>
          </w:tcPr>
          <w:p w14:paraId="356C4D43"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801" w:type="pct"/>
          </w:tcPr>
          <w:p w14:paraId="16DCDD7B"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CA50D0" w:rsidRPr="009B0066" w14:paraId="038E37E0" w14:textId="77777777" w:rsidTr="00415F94">
        <w:tc>
          <w:tcPr>
            <w:cnfStyle w:val="001000000000" w:firstRow="0" w:lastRow="0" w:firstColumn="1" w:lastColumn="0" w:oddVBand="0" w:evenVBand="0" w:oddHBand="0" w:evenHBand="0" w:firstRowFirstColumn="0" w:firstRowLastColumn="0" w:lastRowFirstColumn="0" w:lastRowLastColumn="0"/>
            <w:tcW w:w="1396" w:type="pct"/>
          </w:tcPr>
          <w:p w14:paraId="7CF4D38D" w14:textId="77777777" w:rsidR="00CA50D0" w:rsidRPr="009B0066" w:rsidRDefault="00CA50D0" w:rsidP="00415F94">
            <w:pPr>
              <w:spacing w:line="276" w:lineRule="auto"/>
              <w:rPr>
                <w:b w:val="0"/>
                <w:sz w:val="22"/>
                <w:szCs w:val="22"/>
              </w:rPr>
            </w:pPr>
            <w:r w:rsidRPr="009B0066">
              <w:rPr>
                <w:b w:val="0"/>
                <w:sz w:val="22"/>
                <w:szCs w:val="22"/>
              </w:rPr>
              <w:t xml:space="preserve">Are the demographic and socio-economic reporting categories of the ADII enough? </w:t>
            </w:r>
          </w:p>
        </w:tc>
        <w:tc>
          <w:tcPr>
            <w:tcW w:w="1803" w:type="pct"/>
          </w:tcPr>
          <w:p w14:paraId="5764BE4F"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B0066">
              <w:rPr>
                <w:sz w:val="22"/>
                <w:szCs w:val="22"/>
              </w:rPr>
              <w:t xml:space="preserve">Stakeholders requested a more intersectional framing of demographic cohorts. </w:t>
            </w:r>
          </w:p>
        </w:tc>
        <w:tc>
          <w:tcPr>
            <w:tcW w:w="1801" w:type="pct"/>
          </w:tcPr>
          <w:p w14:paraId="4EE5C0BA" w14:textId="77777777" w:rsidR="00CA50D0"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B0066">
              <w:rPr>
                <w:sz w:val="22"/>
                <w:szCs w:val="22"/>
              </w:rPr>
              <w:t xml:space="preserve">ADII 2.0 uses ABS demographic cohorts to enable statistical modelling. Although intersectional framing of these is out of scope for ADII 2.0, stakeholder interest suggests qualitative research with specific cohorts would be valuable. </w:t>
            </w:r>
          </w:p>
          <w:p w14:paraId="5F1F8C37" w14:textId="77777777" w:rsidR="00CA50D0"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The ADII research team is also developing an ADII 2.0 data collection tool that would be available for community groups to undertake their own research. </w:t>
            </w:r>
          </w:p>
          <w:p w14:paraId="5853025B"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The ADII research team is available for partnerships to undertake research deep dives. </w:t>
            </w:r>
          </w:p>
        </w:tc>
      </w:tr>
      <w:tr w:rsidR="00CA50D0" w:rsidRPr="009B0066" w14:paraId="5013924B" w14:textId="77777777" w:rsidTr="00415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tcPr>
          <w:p w14:paraId="0202458D" w14:textId="77777777" w:rsidR="00CA50D0" w:rsidRPr="009B0066" w:rsidRDefault="00CA50D0" w:rsidP="00415F94">
            <w:pPr>
              <w:spacing w:line="276" w:lineRule="auto"/>
              <w:rPr>
                <w:b w:val="0"/>
                <w:sz w:val="22"/>
                <w:szCs w:val="22"/>
              </w:rPr>
            </w:pPr>
            <w:r w:rsidRPr="009B0066">
              <w:rPr>
                <w:b w:val="0"/>
                <w:sz w:val="22"/>
                <w:szCs w:val="22"/>
              </w:rPr>
              <w:t xml:space="preserve">What other cohorts would stakeholders like data on? </w:t>
            </w:r>
          </w:p>
        </w:tc>
        <w:tc>
          <w:tcPr>
            <w:tcW w:w="1803" w:type="pct"/>
            <w:shd w:val="clear" w:color="auto" w:fill="auto"/>
          </w:tcPr>
          <w:p w14:paraId="2C32D60A" w14:textId="77777777" w:rsidR="00CA50D0"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B0066">
              <w:rPr>
                <w:sz w:val="22"/>
                <w:szCs w:val="22"/>
              </w:rPr>
              <w:t>Stakeholders highlighted the need for</w:t>
            </w:r>
            <w:r>
              <w:rPr>
                <w:sz w:val="22"/>
                <w:szCs w:val="22"/>
              </w:rPr>
              <w:t>:</w:t>
            </w:r>
          </w:p>
          <w:p w14:paraId="354A10BB" w14:textId="77777777" w:rsidR="00CA50D0" w:rsidRPr="00BE38ED" w:rsidRDefault="00CA50D0" w:rsidP="00CA50D0">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BE38ED">
              <w:rPr>
                <w:sz w:val="22"/>
                <w:szCs w:val="22"/>
              </w:rPr>
              <w:t xml:space="preserve">representative Aboriginal and Torres Strait Islander inclusion within the </w:t>
            </w:r>
            <w:proofErr w:type="gramStart"/>
            <w:r w:rsidRPr="00BE38ED">
              <w:rPr>
                <w:sz w:val="22"/>
                <w:szCs w:val="22"/>
              </w:rPr>
              <w:t>data;</w:t>
            </w:r>
            <w:proofErr w:type="gramEnd"/>
          </w:p>
          <w:p w14:paraId="7570B145" w14:textId="77777777" w:rsidR="00CA50D0" w:rsidRPr="00BE38ED" w:rsidRDefault="00CA50D0" w:rsidP="00CA50D0">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BE38ED">
              <w:rPr>
                <w:sz w:val="22"/>
                <w:szCs w:val="22"/>
              </w:rPr>
              <w:t xml:space="preserve">a more expansive understanding of </w:t>
            </w:r>
            <w:proofErr w:type="gramStart"/>
            <w:r w:rsidRPr="00BE38ED">
              <w:rPr>
                <w:sz w:val="22"/>
                <w:szCs w:val="22"/>
              </w:rPr>
              <w:t>disability;</w:t>
            </w:r>
            <w:proofErr w:type="gramEnd"/>
          </w:p>
          <w:p w14:paraId="7F4D8E03" w14:textId="77777777" w:rsidR="00CA50D0" w:rsidRPr="00BE38ED" w:rsidRDefault="00CA50D0" w:rsidP="00CA50D0">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BE38ED">
              <w:rPr>
                <w:sz w:val="22"/>
                <w:szCs w:val="22"/>
              </w:rPr>
              <w:t>and the ability to capture data on the digital inclusion of those in transient housing.</w:t>
            </w:r>
          </w:p>
        </w:tc>
        <w:tc>
          <w:tcPr>
            <w:tcW w:w="1801" w:type="pct"/>
            <w:shd w:val="clear" w:color="auto" w:fill="auto"/>
          </w:tcPr>
          <w:p w14:paraId="5D4E034C" w14:textId="77777777" w:rsidR="00CA50D0"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The sample size for ADII 2.0 is 2000. </w:t>
            </w:r>
          </w:p>
          <w:p w14:paraId="14E15E58" w14:textId="77777777" w:rsidR="00CA50D0"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B0066">
              <w:rPr>
                <w:sz w:val="22"/>
                <w:szCs w:val="22"/>
              </w:rPr>
              <w:t xml:space="preserve">ADII 2.0 uses ABS demographic cohorts </w:t>
            </w:r>
            <w:r>
              <w:rPr>
                <w:sz w:val="22"/>
                <w:szCs w:val="22"/>
              </w:rPr>
              <w:t xml:space="preserve">and </w:t>
            </w:r>
            <w:r w:rsidRPr="009B0066">
              <w:rPr>
                <w:sz w:val="22"/>
                <w:szCs w:val="22"/>
              </w:rPr>
              <w:t>statistical modelling</w:t>
            </w:r>
            <w:r>
              <w:rPr>
                <w:sz w:val="22"/>
                <w:szCs w:val="22"/>
              </w:rPr>
              <w:t xml:space="preserve"> will enable some insight into cohorts such as people with disability.</w:t>
            </w:r>
          </w:p>
          <w:p w14:paraId="24ED0061"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p w14:paraId="33345BBC" w14:textId="77777777" w:rsidR="00CA50D0"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B0066">
              <w:rPr>
                <w:sz w:val="22"/>
                <w:szCs w:val="22"/>
              </w:rPr>
              <w:t>ADII 2.0 will not capture data for those in transient housing</w:t>
            </w:r>
            <w:r>
              <w:rPr>
                <w:sz w:val="22"/>
                <w:szCs w:val="22"/>
              </w:rPr>
              <w:t xml:space="preserve">. However, the project team developing an ADII 2.0 data collection tool that would be available for community groups to undertake their own research. </w:t>
            </w:r>
          </w:p>
          <w:p w14:paraId="7AB0149C"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The ADII research team is available for partnerships to undertake research deep dives.</w:t>
            </w:r>
          </w:p>
        </w:tc>
      </w:tr>
      <w:tr w:rsidR="00CA50D0" w:rsidRPr="009B0066" w14:paraId="0B2FB645" w14:textId="77777777" w:rsidTr="00415F94">
        <w:tc>
          <w:tcPr>
            <w:cnfStyle w:val="001000000000" w:firstRow="0" w:lastRow="0" w:firstColumn="1" w:lastColumn="0" w:oddVBand="0" w:evenVBand="0" w:oddHBand="0" w:evenHBand="0" w:firstRowFirstColumn="0" w:firstRowLastColumn="0" w:lastRowFirstColumn="0" w:lastRowLastColumn="0"/>
            <w:tcW w:w="1396" w:type="pct"/>
          </w:tcPr>
          <w:p w14:paraId="19E01732" w14:textId="77777777" w:rsidR="00CA50D0" w:rsidRPr="009B0066" w:rsidRDefault="00CA50D0" w:rsidP="00415F94">
            <w:pPr>
              <w:spacing w:line="276" w:lineRule="auto"/>
              <w:rPr>
                <w:b w:val="0"/>
                <w:sz w:val="22"/>
                <w:szCs w:val="22"/>
              </w:rPr>
            </w:pPr>
            <w:r w:rsidRPr="009B0066">
              <w:rPr>
                <w:b w:val="0"/>
                <w:sz w:val="22"/>
                <w:szCs w:val="22"/>
              </w:rPr>
              <w:t xml:space="preserve">Are there preferred ways of </w:t>
            </w:r>
            <w:proofErr w:type="spellStart"/>
            <w:r w:rsidRPr="009B0066">
              <w:rPr>
                <w:b w:val="0"/>
                <w:sz w:val="22"/>
                <w:szCs w:val="22"/>
              </w:rPr>
              <w:t>recognising</w:t>
            </w:r>
            <w:proofErr w:type="spellEnd"/>
            <w:r w:rsidRPr="009B0066">
              <w:rPr>
                <w:b w:val="0"/>
                <w:sz w:val="22"/>
                <w:szCs w:val="22"/>
              </w:rPr>
              <w:t xml:space="preserve"> and measuring demographic groups?</w:t>
            </w:r>
          </w:p>
        </w:tc>
        <w:tc>
          <w:tcPr>
            <w:tcW w:w="1803" w:type="pct"/>
          </w:tcPr>
          <w:p w14:paraId="44E6ABBC"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B0066">
              <w:rPr>
                <w:sz w:val="22"/>
                <w:szCs w:val="22"/>
              </w:rPr>
              <w:t xml:space="preserve">Stakeholders requested inclusion of multiple forms of income support. </w:t>
            </w:r>
          </w:p>
        </w:tc>
        <w:tc>
          <w:tcPr>
            <w:tcW w:w="1801" w:type="pct"/>
          </w:tcPr>
          <w:p w14:paraId="60572B94"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B0066">
              <w:rPr>
                <w:sz w:val="22"/>
                <w:szCs w:val="22"/>
              </w:rPr>
              <w:t xml:space="preserve">ADII 2.0 will capture data on multiple forms of income support. </w:t>
            </w:r>
          </w:p>
        </w:tc>
      </w:tr>
      <w:tr w:rsidR="00CA50D0" w:rsidRPr="009B0066" w14:paraId="0073845D" w14:textId="77777777" w:rsidTr="00415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40701EF4" w14:textId="77777777" w:rsidR="00CA50D0" w:rsidRPr="009B0066" w:rsidRDefault="00CA50D0" w:rsidP="00415F94">
            <w:pPr>
              <w:spacing w:line="276" w:lineRule="auto"/>
              <w:rPr>
                <w:sz w:val="22"/>
                <w:szCs w:val="22"/>
              </w:rPr>
            </w:pPr>
            <w:r>
              <w:rPr>
                <w:sz w:val="22"/>
                <w:szCs w:val="22"/>
              </w:rPr>
              <w:t xml:space="preserve">DATA REPORTING AND AVAILABILTY </w:t>
            </w:r>
          </w:p>
        </w:tc>
        <w:tc>
          <w:tcPr>
            <w:tcW w:w="1803" w:type="pct"/>
          </w:tcPr>
          <w:p w14:paraId="28603EB9"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801" w:type="pct"/>
          </w:tcPr>
          <w:p w14:paraId="0F530F02"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highlight w:val="yellow"/>
              </w:rPr>
            </w:pPr>
          </w:p>
        </w:tc>
      </w:tr>
      <w:tr w:rsidR="00CA50D0" w:rsidRPr="009B0066" w14:paraId="3DBEEEFE" w14:textId="77777777" w:rsidTr="00415F94">
        <w:tc>
          <w:tcPr>
            <w:cnfStyle w:val="001000000000" w:firstRow="0" w:lastRow="0" w:firstColumn="1" w:lastColumn="0" w:oddVBand="0" w:evenVBand="0" w:oddHBand="0" w:evenHBand="0" w:firstRowFirstColumn="0" w:firstRowLastColumn="0" w:lastRowFirstColumn="0" w:lastRowLastColumn="0"/>
            <w:tcW w:w="1396" w:type="pct"/>
          </w:tcPr>
          <w:p w14:paraId="6AA9A5F2" w14:textId="77777777" w:rsidR="00CA50D0" w:rsidRPr="009B0066" w:rsidRDefault="00CA50D0" w:rsidP="00415F94">
            <w:pPr>
              <w:spacing w:line="276" w:lineRule="auto"/>
              <w:rPr>
                <w:b w:val="0"/>
                <w:sz w:val="22"/>
                <w:szCs w:val="22"/>
              </w:rPr>
            </w:pPr>
            <w:r w:rsidRPr="009B0066">
              <w:rPr>
                <w:b w:val="0"/>
                <w:sz w:val="22"/>
                <w:szCs w:val="22"/>
              </w:rPr>
              <w:t xml:space="preserve">Would the release of more detailed data be of value? </w:t>
            </w:r>
          </w:p>
        </w:tc>
        <w:tc>
          <w:tcPr>
            <w:tcW w:w="1803" w:type="pct"/>
          </w:tcPr>
          <w:p w14:paraId="09501DAB"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B0066">
              <w:rPr>
                <w:sz w:val="22"/>
                <w:szCs w:val="22"/>
              </w:rPr>
              <w:t xml:space="preserve">Yes. Ideally, this would be at the regional and Local Government Area level. </w:t>
            </w:r>
          </w:p>
        </w:tc>
        <w:tc>
          <w:tcPr>
            <w:tcW w:w="1801" w:type="pct"/>
          </w:tcPr>
          <w:p w14:paraId="618EE583" w14:textId="77777777" w:rsidR="00CA50D0"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Noted.</w:t>
            </w:r>
          </w:p>
          <w:p w14:paraId="4207BBDD"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Detailed data will be released on the ADII website.</w:t>
            </w:r>
          </w:p>
        </w:tc>
      </w:tr>
      <w:tr w:rsidR="00CA50D0" w:rsidRPr="009B0066" w14:paraId="2284DECF" w14:textId="77777777" w:rsidTr="00415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tcPr>
          <w:p w14:paraId="60E35AB7" w14:textId="77777777" w:rsidR="00CA50D0" w:rsidRPr="009B0066" w:rsidRDefault="00CA50D0" w:rsidP="00415F94">
            <w:pPr>
              <w:spacing w:line="276" w:lineRule="auto"/>
              <w:rPr>
                <w:b w:val="0"/>
                <w:sz w:val="22"/>
                <w:szCs w:val="22"/>
              </w:rPr>
            </w:pPr>
            <w:r w:rsidRPr="009B0066">
              <w:rPr>
                <w:b w:val="0"/>
                <w:sz w:val="22"/>
                <w:szCs w:val="22"/>
              </w:rPr>
              <w:t>In what format and at what level of granularity would this be most useful?</w:t>
            </w:r>
          </w:p>
        </w:tc>
        <w:tc>
          <w:tcPr>
            <w:tcW w:w="1803" w:type="pct"/>
            <w:shd w:val="clear" w:color="auto" w:fill="auto"/>
          </w:tcPr>
          <w:p w14:paraId="0D1C1386"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B0066">
              <w:rPr>
                <w:sz w:val="22"/>
                <w:szCs w:val="22"/>
              </w:rPr>
              <w:t xml:space="preserve">CSV or JSON. </w:t>
            </w:r>
          </w:p>
        </w:tc>
        <w:tc>
          <w:tcPr>
            <w:tcW w:w="1801" w:type="pct"/>
            <w:shd w:val="clear" w:color="auto" w:fill="auto"/>
          </w:tcPr>
          <w:p w14:paraId="0925A485" w14:textId="77777777" w:rsidR="00CA50D0"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C75294">
              <w:rPr>
                <w:sz w:val="22"/>
                <w:szCs w:val="22"/>
              </w:rPr>
              <w:t xml:space="preserve">Noted. </w:t>
            </w:r>
          </w:p>
          <w:p w14:paraId="04253592" w14:textId="77777777" w:rsidR="00CA50D0" w:rsidRPr="00C75294"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CSV files will be made available on the ADII website.</w:t>
            </w:r>
          </w:p>
        </w:tc>
      </w:tr>
      <w:tr w:rsidR="00CA50D0" w:rsidRPr="009B0066" w14:paraId="49170D38" w14:textId="77777777" w:rsidTr="00415F94">
        <w:tc>
          <w:tcPr>
            <w:cnfStyle w:val="001000000000" w:firstRow="0" w:lastRow="0" w:firstColumn="1" w:lastColumn="0" w:oddVBand="0" w:evenVBand="0" w:oddHBand="0" w:evenHBand="0" w:firstRowFirstColumn="0" w:firstRowLastColumn="0" w:lastRowFirstColumn="0" w:lastRowLastColumn="0"/>
            <w:tcW w:w="1396" w:type="pct"/>
            <w:shd w:val="clear" w:color="auto" w:fill="F2F2F2" w:themeFill="background1" w:themeFillShade="F2"/>
          </w:tcPr>
          <w:p w14:paraId="5E646A96" w14:textId="77777777" w:rsidR="00CA50D0" w:rsidRPr="009B0066" w:rsidRDefault="00CA50D0" w:rsidP="00415F94">
            <w:pPr>
              <w:spacing w:line="276" w:lineRule="auto"/>
              <w:rPr>
                <w:sz w:val="22"/>
                <w:szCs w:val="22"/>
              </w:rPr>
            </w:pPr>
            <w:r w:rsidRPr="009B0066">
              <w:rPr>
                <w:sz w:val="22"/>
                <w:szCs w:val="22"/>
              </w:rPr>
              <w:lastRenderedPageBreak/>
              <w:t>CUSTOMISED PUBLIC DIGITAL INCLUSION SURVEY AND REPORTING TOOL</w:t>
            </w:r>
          </w:p>
        </w:tc>
        <w:tc>
          <w:tcPr>
            <w:tcW w:w="1803" w:type="pct"/>
            <w:shd w:val="clear" w:color="auto" w:fill="F2F2F2" w:themeFill="background1" w:themeFillShade="F2"/>
          </w:tcPr>
          <w:p w14:paraId="4D59EFF5"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1801" w:type="pct"/>
            <w:shd w:val="clear" w:color="auto" w:fill="F2F2F2" w:themeFill="background1" w:themeFillShade="F2"/>
          </w:tcPr>
          <w:p w14:paraId="0E576053"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highlight w:val="yellow"/>
              </w:rPr>
            </w:pPr>
          </w:p>
        </w:tc>
      </w:tr>
      <w:tr w:rsidR="00CA50D0" w:rsidRPr="009B0066" w14:paraId="3B9FBB5F" w14:textId="77777777" w:rsidTr="00415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tcPr>
          <w:p w14:paraId="1462F89C" w14:textId="77777777" w:rsidR="00CA50D0" w:rsidRPr="009B0066" w:rsidRDefault="00CA50D0" w:rsidP="00415F94">
            <w:pPr>
              <w:spacing w:line="276" w:lineRule="auto"/>
              <w:rPr>
                <w:b w:val="0"/>
                <w:sz w:val="22"/>
                <w:szCs w:val="22"/>
              </w:rPr>
            </w:pPr>
            <w:r w:rsidRPr="009B0066">
              <w:rPr>
                <w:b w:val="0"/>
                <w:sz w:val="22"/>
                <w:szCs w:val="22"/>
              </w:rPr>
              <w:t>Would stakeholders use the ADII 2.0 to collect their own data?</w:t>
            </w:r>
          </w:p>
        </w:tc>
        <w:tc>
          <w:tcPr>
            <w:tcW w:w="1803" w:type="pct"/>
            <w:shd w:val="clear" w:color="auto" w:fill="auto"/>
          </w:tcPr>
          <w:p w14:paraId="33E8354A"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B0066">
              <w:rPr>
                <w:sz w:val="22"/>
                <w:szCs w:val="22"/>
              </w:rPr>
              <w:t>While deemed useful, stakeholders were concerned that improper use might damage the ADII 2.0 brand. In addition, stakeholders noted their ability to collect data would depend on resourcing.</w:t>
            </w:r>
          </w:p>
        </w:tc>
        <w:tc>
          <w:tcPr>
            <w:tcW w:w="1801" w:type="pct"/>
            <w:shd w:val="clear" w:color="auto" w:fill="auto"/>
          </w:tcPr>
          <w:p w14:paraId="6E512FB2"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Noted.</w:t>
            </w:r>
          </w:p>
        </w:tc>
      </w:tr>
      <w:tr w:rsidR="00CA50D0" w:rsidRPr="009B0066" w14:paraId="4451DABF" w14:textId="77777777" w:rsidTr="00415F94">
        <w:tc>
          <w:tcPr>
            <w:cnfStyle w:val="001000000000" w:firstRow="0" w:lastRow="0" w:firstColumn="1" w:lastColumn="0" w:oddVBand="0" w:evenVBand="0" w:oddHBand="0" w:evenHBand="0" w:firstRowFirstColumn="0" w:firstRowLastColumn="0" w:lastRowFirstColumn="0" w:lastRowLastColumn="0"/>
            <w:tcW w:w="1396" w:type="pct"/>
            <w:shd w:val="clear" w:color="auto" w:fill="F2F2F2" w:themeFill="background1" w:themeFillShade="F2"/>
          </w:tcPr>
          <w:p w14:paraId="79E40127" w14:textId="77777777" w:rsidR="00CA50D0" w:rsidRPr="009B0066" w:rsidRDefault="00CA50D0" w:rsidP="00415F94">
            <w:pPr>
              <w:spacing w:line="276" w:lineRule="auto"/>
              <w:rPr>
                <w:sz w:val="22"/>
                <w:szCs w:val="22"/>
              </w:rPr>
            </w:pPr>
            <w:r>
              <w:rPr>
                <w:sz w:val="22"/>
                <w:szCs w:val="22"/>
              </w:rPr>
              <w:t>ADDITIONAL FEEDBACK</w:t>
            </w:r>
          </w:p>
        </w:tc>
        <w:tc>
          <w:tcPr>
            <w:tcW w:w="1803" w:type="pct"/>
            <w:shd w:val="clear" w:color="auto" w:fill="F2F2F2" w:themeFill="background1" w:themeFillShade="F2"/>
          </w:tcPr>
          <w:p w14:paraId="3B0D269C"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1801" w:type="pct"/>
            <w:shd w:val="clear" w:color="auto" w:fill="F2F2F2" w:themeFill="background1" w:themeFillShade="F2"/>
          </w:tcPr>
          <w:p w14:paraId="028F08D1" w14:textId="77777777" w:rsidR="00CA50D0" w:rsidRPr="009B0066" w:rsidRDefault="00CA50D0" w:rsidP="00415F9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CA50D0" w:rsidRPr="009B0066" w14:paraId="72823629" w14:textId="77777777" w:rsidTr="00415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tcPr>
          <w:p w14:paraId="13419A4C" w14:textId="77777777" w:rsidR="00CA50D0" w:rsidRPr="009B0066" w:rsidRDefault="00CA50D0" w:rsidP="00415F94">
            <w:pPr>
              <w:spacing w:line="276" w:lineRule="auto"/>
              <w:rPr>
                <w:sz w:val="22"/>
                <w:szCs w:val="22"/>
              </w:rPr>
            </w:pPr>
          </w:p>
        </w:tc>
        <w:tc>
          <w:tcPr>
            <w:tcW w:w="1803" w:type="pct"/>
            <w:shd w:val="clear" w:color="auto" w:fill="auto"/>
          </w:tcPr>
          <w:p w14:paraId="56C915F9"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B0066">
              <w:rPr>
                <w:sz w:val="22"/>
                <w:szCs w:val="22"/>
              </w:rPr>
              <w:t xml:space="preserve">Stakeholders disagreed with the proposed removal of ‘places of internet </w:t>
            </w:r>
            <w:proofErr w:type="gramStart"/>
            <w:r w:rsidRPr="009B0066">
              <w:rPr>
                <w:sz w:val="22"/>
                <w:szCs w:val="22"/>
              </w:rPr>
              <w:t>access’</w:t>
            </w:r>
            <w:proofErr w:type="gramEnd"/>
            <w:r w:rsidRPr="009B0066">
              <w:rPr>
                <w:sz w:val="22"/>
                <w:szCs w:val="22"/>
              </w:rPr>
              <w:t xml:space="preserve">. </w:t>
            </w:r>
          </w:p>
          <w:p w14:paraId="7B5CCC6B"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p w14:paraId="321B1258"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B0066">
              <w:rPr>
                <w:sz w:val="22"/>
                <w:szCs w:val="22"/>
              </w:rPr>
              <w:t>Stakeholders encouraged consideration of the difference between access and accessibility for people with disabilities.</w:t>
            </w:r>
          </w:p>
        </w:tc>
        <w:tc>
          <w:tcPr>
            <w:tcW w:w="1801" w:type="pct"/>
            <w:shd w:val="clear" w:color="auto" w:fill="auto"/>
          </w:tcPr>
          <w:p w14:paraId="539B7BFB"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B0066">
              <w:rPr>
                <w:sz w:val="22"/>
                <w:szCs w:val="22"/>
              </w:rPr>
              <w:t xml:space="preserve">ADII 2.0 </w:t>
            </w:r>
            <w:r>
              <w:rPr>
                <w:sz w:val="22"/>
                <w:szCs w:val="22"/>
              </w:rPr>
              <w:t xml:space="preserve">will continue to collect data on </w:t>
            </w:r>
            <w:r w:rsidRPr="009B0066">
              <w:rPr>
                <w:sz w:val="22"/>
                <w:szCs w:val="22"/>
              </w:rPr>
              <w:t xml:space="preserve">‘places of internet </w:t>
            </w:r>
            <w:proofErr w:type="gramStart"/>
            <w:r w:rsidRPr="009B0066">
              <w:rPr>
                <w:sz w:val="22"/>
                <w:szCs w:val="22"/>
              </w:rPr>
              <w:t>access’</w:t>
            </w:r>
            <w:proofErr w:type="gramEnd"/>
            <w:r w:rsidRPr="009B0066">
              <w:rPr>
                <w:sz w:val="22"/>
                <w:szCs w:val="22"/>
              </w:rPr>
              <w:t>.</w:t>
            </w:r>
          </w:p>
          <w:p w14:paraId="0EF02700"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p w14:paraId="2E14E42C" w14:textId="77777777" w:rsidR="00CA50D0" w:rsidRPr="009B0066" w:rsidRDefault="00CA50D0" w:rsidP="00415F9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B0066">
              <w:rPr>
                <w:sz w:val="22"/>
                <w:szCs w:val="22"/>
              </w:rPr>
              <w:t xml:space="preserve">The quantitative methods underpinning ADII 2.0 will not enable consideration of the difference between access and accessibility. Stakeholder interest, however, suggests qualitative research on this topic would be valuable. </w:t>
            </w:r>
          </w:p>
        </w:tc>
      </w:tr>
    </w:tbl>
    <w:p w14:paraId="5248FE79" w14:textId="55575B7F" w:rsidR="004030E8" w:rsidRDefault="004030E8" w:rsidP="002248C2"/>
    <w:p w14:paraId="62AC5A22" w14:textId="77777777" w:rsidR="004030E8" w:rsidRPr="002248C2" w:rsidRDefault="004030E8" w:rsidP="002248C2"/>
    <w:tbl>
      <w:tblPr>
        <w:tblStyle w:val="TableGrid"/>
        <w:tblW w:w="0" w:type="auto"/>
        <w:tblLook w:val="04A0" w:firstRow="1" w:lastRow="0" w:firstColumn="1" w:lastColumn="0" w:noHBand="0" w:noVBand="1"/>
      </w:tblPr>
      <w:tblGrid>
        <w:gridCol w:w="10456"/>
      </w:tblGrid>
      <w:tr w:rsidR="00802236" w14:paraId="0E6B6C97" w14:textId="77777777" w:rsidTr="00802236">
        <w:tc>
          <w:tcPr>
            <w:tcW w:w="10456" w:type="dxa"/>
          </w:tcPr>
          <w:p w14:paraId="440A14F4" w14:textId="77777777" w:rsidR="003E2A9C" w:rsidRPr="004030E8" w:rsidRDefault="003E2A9C" w:rsidP="000E5621">
            <w:pPr>
              <w:rPr>
                <w:b/>
                <w:bCs/>
              </w:rPr>
            </w:pPr>
          </w:p>
          <w:p w14:paraId="55F1D5CD" w14:textId="61B0506B" w:rsidR="000E5621" w:rsidRPr="004030E8" w:rsidRDefault="000E5621" w:rsidP="000E5621">
            <w:pPr>
              <w:rPr>
                <w:b/>
                <w:bCs/>
              </w:rPr>
            </w:pPr>
            <w:r w:rsidRPr="004030E8">
              <w:rPr>
                <w:b/>
                <w:bCs/>
              </w:rPr>
              <w:t xml:space="preserve">Suggested citation: </w:t>
            </w:r>
          </w:p>
          <w:p w14:paraId="627D8CF0" w14:textId="77777777" w:rsidR="000E5621" w:rsidRDefault="000E5621" w:rsidP="000E5621"/>
          <w:p w14:paraId="5855D752" w14:textId="77777777" w:rsidR="003E2A9C" w:rsidRPr="003E2A9C" w:rsidRDefault="003E2A9C" w:rsidP="003E2A9C">
            <w:pPr>
              <w:spacing w:after="160" w:line="259" w:lineRule="auto"/>
              <w:ind w:left="720" w:hanging="720"/>
            </w:pPr>
            <w:r w:rsidRPr="003E2A9C">
              <w:t>Thomas, J., Barraket, J., Wilson, C., Holcombe-James, I., Brydon, A. (2020).</w:t>
            </w:r>
            <w:r w:rsidRPr="003E2A9C">
              <w:rPr>
                <w:i/>
                <w:iCs/>
              </w:rPr>
              <w:t xml:space="preserve"> Community Consultation Feedback and Outcome: The Australian Digital Inclusion Index</w:t>
            </w:r>
            <w:r w:rsidRPr="003E2A9C">
              <w:t>. Melbourne: RMIT and Swinburne University of Technology, and Telstra. DOI: 10.25916/ttjz-hx31.</w:t>
            </w:r>
          </w:p>
          <w:p w14:paraId="50169BFF" w14:textId="77777777" w:rsidR="00802236" w:rsidRDefault="00802236" w:rsidP="002248C2"/>
        </w:tc>
      </w:tr>
    </w:tbl>
    <w:p w14:paraId="4B65F324" w14:textId="212D93B5" w:rsidR="002248C2" w:rsidRPr="002248C2" w:rsidRDefault="002248C2" w:rsidP="002248C2"/>
    <w:p w14:paraId="6C88423F" w14:textId="42624D45" w:rsidR="002248C2" w:rsidRPr="002248C2" w:rsidRDefault="002248C2" w:rsidP="002248C2"/>
    <w:p w14:paraId="503B1693" w14:textId="05DDDC53" w:rsidR="002248C2" w:rsidRPr="002248C2" w:rsidRDefault="002248C2" w:rsidP="002248C2"/>
    <w:p w14:paraId="2B5A043E" w14:textId="376178D2" w:rsidR="002248C2" w:rsidRPr="002248C2" w:rsidRDefault="002248C2" w:rsidP="002248C2"/>
    <w:p w14:paraId="3164CFE8" w14:textId="0388B2EE" w:rsidR="002248C2" w:rsidRPr="002248C2" w:rsidRDefault="002248C2" w:rsidP="002248C2"/>
    <w:p w14:paraId="2E44F80E" w14:textId="26ECEF47" w:rsidR="002248C2" w:rsidRPr="002248C2" w:rsidRDefault="002248C2" w:rsidP="002248C2"/>
    <w:p w14:paraId="6AA4477D" w14:textId="3B57784D" w:rsidR="002248C2" w:rsidRPr="002248C2" w:rsidRDefault="002248C2" w:rsidP="002248C2"/>
    <w:p w14:paraId="25AEFF69" w14:textId="45892607" w:rsidR="002248C2" w:rsidRPr="002248C2" w:rsidRDefault="002248C2" w:rsidP="002248C2"/>
    <w:p w14:paraId="3984ADF0" w14:textId="3211B066" w:rsidR="002248C2" w:rsidRPr="002248C2" w:rsidRDefault="002248C2" w:rsidP="002248C2">
      <w:pPr>
        <w:tabs>
          <w:tab w:val="left" w:pos="2775"/>
        </w:tabs>
      </w:pPr>
      <w:r>
        <w:tab/>
      </w:r>
    </w:p>
    <w:sectPr w:rsidR="002248C2" w:rsidRPr="002248C2" w:rsidSect="00F17E1D">
      <w:headerReference w:type="default" r:id="rId8"/>
      <w:footerReference w:type="default" r:id="rId9"/>
      <w:pgSz w:w="11906" w:h="16838"/>
      <w:pgMar w:top="720"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10726" w14:textId="77777777" w:rsidR="00A92FEA" w:rsidRDefault="00A92FEA" w:rsidP="0002777F">
      <w:r>
        <w:separator/>
      </w:r>
    </w:p>
  </w:endnote>
  <w:endnote w:type="continuationSeparator" w:id="0">
    <w:p w14:paraId="67EA3DEA" w14:textId="77777777" w:rsidR="00A92FEA" w:rsidRDefault="00A92FEA" w:rsidP="0002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AFF" w:usb1="C0007843" w:usb2="00000009" w:usb3="00000000" w:csb0="000001FF"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776BC" w14:textId="77777777" w:rsidR="003B44CC" w:rsidRDefault="003B44CC" w:rsidP="0002777F">
    <w:pPr>
      <w:pStyle w:val="Footer"/>
    </w:pPr>
  </w:p>
  <w:p w14:paraId="6FEAC77D" w14:textId="77777777" w:rsidR="003B44CC" w:rsidRDefault="003B44CC" w:rsidP="0002777F">
    <w:pPr>
      <w:pStyle w:val="Footer"/>
    </w:pPr>
  </w:p>
  <w:p w14:paraId="65AC66A4" w14:textId="5A32F4EB" w:rsidR="003F4598" w:rsidRDefault="00CF4A3E" w:rsidP="0002777F">
    <w:pPr>
      <w:pStyle w:val="Footer"/>
    </w:pPr>
    <w:r>
      <w:rPr>
        <w:noProof/>
      </w:rPr>
      <mc:AlternateContent>
        <mc:Choice Requires="wps">
          <w:drawing>
            <wp:anchor distT="0" distB="0" distL="114300" distR="114300" simplePos="0" relativeHeight="251660288" behindDoc="0" locked="0" layoutInCell="1" allowOverlap="1" wp14:anchorId="72BE7983" wp14:editId="3F31FF32">
              <wp:simplePos x="0" y="0"/>
              <wp:positionH relativeFrom="column">
                <wp:posOffset>-386080</wp:posOffset>
              </wp:positionH>
              <wp:positionV relativeFrom="paragraph">
                <wp:posOffset>-259080</wp:posOffset>
              </wp:positionV>
              <wp:extent cx="7467600" cy="600075"/>
              <wp:effectExtent l="0" t="0" r="0" b="0"/>
              <wp:wrapNone/>
              <wp:docPr id="3" name="Text Box 3"/>
              <wp:cNvGraphicFramePr/>
              <a:graphic xmlns:a="http://schemas.openxmlformats.org/drawingml/2006/main">
                <a:graphicData uri="http://schemas.microsoft.com/office/word/2010/wordprocessingShape">
                  <wps:wsp>
                    <wps:cNvSpPr txBox="1"/>
                    <wps:spPr>
                      <a:xfrm>
                        <a:off x="0" y="0"/>
                        <a:ext cx="7467600" cy="600075"/>
                      </a:xfrm>
                      <a:prstGeom prst="rect">
                        <a:avLst/>
                      </a:prstGeom>
                      <a:solidFill>
                        <a:schemeClr val="lt1"/>
                      </a:solidFill>
                      <a:ln w="6350">
                        <a:noFill/>
                      </a:ln>
                    </wps:spPr>
                    <wps:txbx>
                      <w:txbxContent>
                        <w:p w14:paraId="17AA0364" w14:textId="2D2005B7" w:rsidR="003F4598" w:rsidRDefault="002248C2" w:rsidP="002248C2">
                          <w:pPr>
                            <w:jc w:val="center"/>
                          </w:pPr>
                          <w:r>
                            <w:rPr>
                              <w:noProof/>
                            </w:rPr>
                            <w:drawing>
                              <wp:inline distT="0" distB="0" distL="0" distR="0" wp14:anchorId="40881765" wp14:editId="3FF65655">
                                <wp:extent cx="6553200" cy="52659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6928367" cy="556744"/>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E7983" id="_x0000_t202" coordsize="21600,21600" o:spt="202" path="m,l,21600r21600,l21600,xe">
              <v:stroke joinstyle="miter"/>
              <v:path gradientshapeok="t" o:connecttype="rect"/>
            </v:shapetype>
            <v:shape id="Text Box 3" o:spid="_x0000_s1026" type="#_x0000_t202" style="position:absolute;margin-left:-30.4pt;margin-top:-20.4pt;width:588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" fillcolor="white [3201]" stroked="f" strokeweight=".5pt">
              <v:textbox inset="0,0,0,0">
                <w:txbxContent>
                  <w:p w14:paraId="17AA0364" w14:textId="2D2005B7" w:rsidR="003F4598" w:rsidRDefault="002248C2" w:rsidP="002248C2">
                    <w:pPr>
                      <w:jc w:val="center"/>
                    </w:pPr>
                    <w:r>
                      <w:rPr>
                        <w:noProof/>
                      </w:rPr>
                      <w:drawing>
                        <wp:inline distT="0" distB="0" distL="0" distR="0" wp14:anchorId="40881765" wp14:editId="3FF65655">
                          <wp:extent cx="6553200" cy="52659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6928367" cy="556744"/>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2DF73" w14:textId="77777777" w:rsidR="00A92FEA" w:rsidRDefault="00A92FEA" w:rsidP="0002777F">
      <w:r>
        <w:separator/>
      </w:r>
    </w:p>
  </w:footnote>
  <w:footnote w:type="continuationSeparator" w:id="0">
    <w:p w14:paraId="49433829" w14:textId="77777777" w:rsidR="00A92FEA" w:rsidRDefault="00A92FEA" w:rsidP="0002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91A26" w14:textId="72F7E35C" w:rsidR="00000000" w:rsidRDefault="00DE3B82">
    <w:r>
      <w:rPr>
        <w:noProof/>
      </w:rPr>
      <w:drawing>
        <wp:inline distT="0" distB="0" distL="0" distR="0" wp14:anchorId="2ADA486B" wp14:editId="1318FE6D">
          <wp:extent cx="3133725" cy="598483"/>
          <wp:effectExtent l="0" t="0" r="3175" b="0"/>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97812" cy="610722"/>
                  </a:xfrm>
                  <a:prstGeom prst="rect">
                    <a:avLst/>
                  </a:prstGeom>
                </pic:spPr>
              </pic:pic>
            </a:graphicData>
          </a:graphic>
        </wp:inline>
      </w:drawing>
    </w:r>
  </w:p>
  <w:p w14:paraId="1212E5CF" w14:textId="42D5B0C7" w:rsidR="002C6590" w:rsidRDefault="002C6590" w:rsidP="00027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B42201"/>
    <w:multiLevelType w:val="hybridMultilevel"/>
    <w:tmpl w:val="917A949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7A233F"/>
    <w:multiLevelType w:val="hybridMultilevel"/>
    <w:tmpl w:val="DEB0C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7473988"/>
    <w:multiLevelType w:val="hybridMultilevel"/>
    <w:tmpl w:val="93A6E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590"/>
    <w:rsid w:val="000260BB"/>
    <w:rsid w:val="0002777F"/>
    <w:rsid w:val="0003769B"/>
    <w:rsid w:val="00041F16"/>
    <w:rsid w:val="0006439C"/>
    <w:rsid w:val="0007327F"/>
    <w:rsid w:val="000E5621"/>
    <w:rsid w:val="001027A9"/>
    <w:rsid w:val="00106733"/>
    <w:rsid w:val="00154015"/>
    <w:rsid w:val="00171F1A"/>
    <w:rsid w:val="001D7036"/>
    <w:rsid w:val="002145F9"/>
    <w:rsid w:val="002248C2"/>
    <w:rsid w:val="002530FB"/>
    <w:rsid w:val="002C6590"/>
    <w:rsid w:val="002E339F"/>
    <w:rsid w:val="00301395"/>
    <w:rsid w:val="00324C54"/>
    <w:rsid w:val="003758CA"/>
    <w:rsid w:val="00383F2C"/>
    <w:rsid w:val="00390B93"/>
    <w:rsid w:val="003B44CC"/>
    <w:rsid w:val="003C3F20"/>
    <w:rsid w:val="003E2A9C"/>
    <w:rsid w:val="003E3F2B"/>
    <w:rsid w:val="003E5887"/>
    <w:rsid w:val="003F4598"/>
    <w:rsid w:val="004030E8"/>
    <w:rsid w:val="00430DA3"/>
    <w:rsid w:val="00452FBC"/>
    <w:rsid w:val="00457772"/>
    <w:rsid w:val="004A3B95"/>
    <w:rsid w:val="004B152B"/>
    <w:rsid w:val="004E0615"/>
    <w:rsid w:val="004E4FFD"/>
    <w:rsid w:val="004F248E"/>
    <w:rsid w:val="0056248B"/>
    <w:rsid w:val="00592573"/>
    <w:rsid w:val="005A2C59"/>
    <w:rsid w:val="005C210D"/>
    <w:rsid w:val="00620FB0"/>
    <w:rsid w:val="0063505F"/>
    <w:rsid w:val="006F42FC"/>
    <w:rsid w:val="007760C0"/>
    <w:rsid w:val="00782073"/>
    <w:rsid w:val="007B3EFA"/>
    <w:rsid w:val="007C061F"/>
    <w:rsid w:val="007E153E"/>
    <w:rsid w:val="00801BC8"/>
    <w:rsid w:val="00802236"/>
    <w:rsid w:val="00844886"/>
    <w:rsid w:val="00867D49"/>
    <w:rsid w:val="00911E4C"/>
    <w:rsid w:val="00924AB1"/>
    <w:rsid w:val="0095623B"/>
    <w:rsid w:val="009B5BDA"/>
    <w:rsid w:val="00A57CC5"/>
    <w:rsid w:val="00A80439"/>
    <w:rsid w:val="00A80A2F"/>
    <w:rsid w:val="00A92FEA"/>
    <w:rsid w:val="00AB317B"/>
    <w:rsid w:val="00AB6928"/>
    <w:rsid w:val="00BA5977"/>
    <w:rsid w:val="00BB0DDE"/>
    <w:rsid w:val="00BD407F"/>
    <w:rsid w:val="00C336FC"/>
    <w:rsid w:val="00C55035"/>
    <w:rsid w:val="00CA50D0"/>
    <w:rsid w:val="00CD0A68"/>
    <w:rsid w:val="00CF4A3E"/>
    <w:rsid w:val="00D01F30"/>
    <w:rsid w:val="00D02D9A"/>
    <w:rsid w:val="00D03E95"/>
    <w:rsid w:val="00D1320A"/>
    <w:rsid w:val="00D32C21"/>
    <w:rsid w:val="00D6485F"/>
    <w:rsid w:val="00D64968"/>
    <w:rsid w:val="00D83F6D"/>
    <w:rsid w:val="00D92A58"/>
    <w:rsid w:val="00D94D75"/>
    <w:rsid w:val="00DD5975"/>
    <w:rsid w:val="00DE3B82"/>
    <w:rsid w:val="00E24FBA"/>
    <w:rsid w:val="00E4094A"/>
    <w:rsid w:val="00E46B0F"/>
    <w:rsid w:val="00E725DF"/>
    <w:rsid w:val="00E82C9A"/>
    <w:rsid w:val="00E94F49"/>
    <w:rsid w:val="00EB7AF5"/>
    <w:rsid w:val="00F1171A"/>
    <w:rsid w:val="00F13934"/>
    <w:rsid w:val="00F17E1D"/>
    <w:rsid w:val="00F228BD"/>
    <w:rsid w:val="00FA0B44"/>
  </w:rsids>
  <m:mathPr>
    <m:mathFont m:val="Cambria Math"/>
    <m:brkBin m:val="before"/>
    <m:brkBinSub m:val="--"/>
    <m:smallFrac m:val="0"/>
    <m:dispDef/>
    <m:lMargin m:val="0"/>
    <m:rMargin m:val="0"/>
    <m:defJc m:val="centerGroup"/>
    <m:wrapIndent m:val="1440"/>
    <m:intLim m:val="subSup"/>
    <m:naryLim m:val="undOvr"/>
  </m:mathPr>
  <w:themeFontLang w:val="en-AU"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764F4"/>
  <w15:chartTrackingRefBased/>
  <w15:docId w15:val="{352380DD-83CF-4246-8AAE-9683666C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2777F"/>
    <w:rPr>
      <w:rFonts w:ascii="Arial" w:hAnsi="Arial" w:cs="Arial"/>
    </w:rPr>
  </w:style>
  <w:style w:type="paragraph" w:styleId="Heading1">
    <w:name w:val="heading 1"/>
    <w:basedOn w:val="Normal"/>
    <w:next w:val="Normal"/>
    <w:link w:val="Heading1Char"/>
    <w:uiPriority w:val="9"/>
    <w:qFormat/>
    <w:rsid w:val="0002777F"/>
    <w:pPr>
      <w:outlineLvl w:val="0"/>
    </w:pPr>
    <w:rPr>
      <w:b/>
      <w:color w:val="9D004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590"/>
  </w:style>
  <w:style w:type="paragraph" w:styleId="Footer">
    <w:name w:val="footer"/>
    <w:basedOn w:val="Normal"/>
    <w:link w:val="FooterChar"/>
    <w:uiPriority w:val="99"/>
    <w:unhideWhenUsed/>
    <w:rsid w:val="002C6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590"/>
  </w:style>
  <w:style w:type="character" w:customStyle="1" w:styleId="Heading1Char">
    <w:name w:val="Heading 1 Char"/>
    <w:basedOn w:val="DefaultParagraphFont"/>
    <w:link w:val="Heading1"/>
    <w:uiPriority w:val="9"/>
    <w:rsid w:val="0002777F"/>
    <w:rPr>
      <w:rFonts w:ascii="Arial" w:hAnsi="Arial" w:cs="Arial"/>
      <w:b/>
      <w:color w:val="9D0040"/>
      <w:sz w:val="24"/>
      <w:szCs w:val="24"/>
    </w:rPr>
  </w:style>
  <w:style w:type="paragraph" w:customStyle="1" w:styleId="BasicParagraph">
    <w:name w:val="[Basic Paragraph]"/>
    <w:basedOn w:val="Normal"/>
    <w:uiPriority w:val="99"/>
    <w:rsid w:val="00452FBC"/>
    <w:pPr>
      <w:autoSpaceDE w:val="0"/>
      <w:autoSpaceDN w:val="0"/>
      <w:adjustRightInd w:val="0"/>
      <w:spacing w:after="0" w:line="288" w:lineRule="auto"/>
      <w:textAlignment w:val="center"/>
    </w:pPr>
    <w:rPr>
      <w:rFonts w:ascii="Minion Pro" w:hAnsi="Minion Pro" w:cs="Minion Pro"/>
      <w:color w:val="000000"/>
      <w:sz w:val="24"/>
      <w:szCs w:val="24"/>
      <w:lang w:val="en-US" w:bidi="my-MM"/>
    </w:rPr>
  </w:style>
  <w:style w:type="table" w:styleId="TableGrid">
    <w:name w:val="Table Grid"/>
    <w:basedOn w:val="TableNormal"/>
    <w:uiPriority w:val="39"/>
    <w:rsid w:val="00C5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0FB0"/>
    <w:pPr>
      <w:ind w:left="720"/>
      <w:contextualSpacing/>
    </w:pPr>
  </w:style>
  <w:style w:type="table" w:styleId="PlainTable4">
    <w:name w:val="Plain Table 4"/>
    <w:basedOn w:val="TableNormal"/>
    <w:uiPriority w:val="44"/>
    <w:rsid w:val="00CA50D0"/>
    <w:pPr>
      <w:spacing w:after="0" w:line="240" w:lineRule="auto"/>
    </w:pPr>
    <w:rPr>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127593">
      <w:bodyDiv w:val="1"/>
      <w:marLeft w:val="0"/>
      <w:marRight w:val="0"/>
      <w:marTop w:val="0"/>
      <w:marBottom w:val="0"/>
      <w:divBdr>
        <w:top w:val="none" w:sz="0" w:space="0" w:color="auto"/>
        <w:left w:val="none" w:sz="0" w:space="0" w:color="auto"/>
        <w:bottom w:val="none" w:sz="0" w:space="0" w:color="auto"/>
        <w:right w:val="none" w:sz="0" w:space="0" w:color="auto"/>
      </w:divBdr>
    </w:div>
    <w:div w:id="1054352636">
      <w:bodyDiv w:val="1"/>
      <w:marLeft w:val="0"/>
      <w:marRight w:val="0"/>
      <w:marTop w:val="0"/>
      <w:marBottom w:val="0"/>
      <w:divBdr>
        <w:top w:val="none" w:sz="0" w:space="0" w:color="auto"/>
        <w:left w:val="none" w:sz="0" w:space="0" w:color="auto"/>
        <w:bottom w:val="none" w:sz="0" w:space="0" w:color="auto"/>
        <w:right w:val="none" w:sz="0" w:space="0" w:color="auto"/>
      </w:divBdr>
    </w:div>
    <w:div w:id="1731806203">
      <w:bodyDiv w:val="1"/>
      <w:marLeft w:val="0"/>
      <w:marRight w:val="0"/>
      <w:marTop w:val="0"/>
      <w:marBottom w:val="0"/>
      <w:divBdr>
        <w:top w:val="none" w:sz="0" w:space="0" w:color="auto"/>
        <w:left w:val="none" w:sz="0" w:space="0" w:color="auto"/>
        <w:bottom w:val="none" w:sz="0" w:space="0" w:color="auto"/>
        <w:right w:val="none" w:sz="0" w:space="0" w:color="auto"/>
      </w:divBdr>
    </w:div>
    <w:div w:id="2035302552">
      <w:bodyDiv w:val="1"/>
      <w:marLeft w:val="0"/>
      <w:marRight w:val="0"/>
      <w:marTop w:val="0"/>
      <w:marBottom w:val="0"/>
      <w:divBdr>
        <w:top w:val="none" w:sz="0" w:space="0" w:color="auto"/>
        <w:left w:val="none" w:sz="0" w:space="0" w:color="auto"/>
        <w:bottom w:val="none" w:sz="0" w:space="0" w:color="auto"/>
        <w:right w:val="none" w:sz="0" w:space="0" w:color="auto"/>
      </w:divBdr>
    </w:div>
    <w:div w:id="204085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FAEBAC1C4B914EB06FF8215A131707" ma:contentTypeVersion="6" ma:contentTypeDescription="Create a new document." ma:contentTypeScope="" ma:versionID="4d1d6481c2216461de647ed90f1b4a5f">
  <xsd:schema xmlns:xsd="http://www.w3.org/2001/XMLSchema" xmlns:xs="http://www.w3.org/2001/XMLSchema" xmlns:p="http://schemas.microsoft.com/office/2006/metadata/properties" xmlns:ns2="1c285ecc-ddf0-423d-a847-b575e559d591" xmlns:ns3="7f1b5e5a-fdb4-49af-bf53-10cf63421b05" targetNamespace="http://schemas.microsoft.com/office/2006/metadata/properties" ma:root="true" ma:fieldsID="fc2660b851f6e35c9f3e0ab5f2222bfb" ns2:_="" ns3:_="">
    <xsd:import namespace="1c285ecc-ddf0-423d-a847-b575e559d591"/>
    <xsd:import namespace="7f1b5e5a-fdb4-49af-bf53-10cf63421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85ecc-ddf0-423d-a847-b575e559d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b5e5a-fdb4-49af-bf53-10cf63421b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63896-59D7-B54D-AD97-9DB178240D7D}">
  <ds:schemaRefs>
    <ds:schemaRef ds:uri="http://schemas.openxmlformats.org/officeDocument/2006/bibliography"/>
  </ds:schemaRefs>
</ds:datastoreItem>
</file>

<file path=customXml/itemProps2.xml><?xml version="1.0" encoding="utf-8"?>
<ds:datastoreItem xmlns:ds="http://schemas.openxmlformats.org/officeDocument/2006/customXml" ds:itemID="{2777A513-454E-41AA-B8D5-BABA1D215DE1}"/>
</file>

<file path=customXml/itemProps3.xml><?xml version="1.0" encoding="utf-8"?>
<ds:datastoreItem xmlns:ds="http://schemas.openxmlformats.org/officeDocument/2006/customXml" ds:itemID="{2ADA4E9C-7616-4CE1-B04C-F23771C77F18}"/>
</file>

<file path=customXml/itemProps4.xml><?xml version="1.0" encoding="utf-8"?>
<ds:datastoreItem xmlns:ds="http://schemas.openxmlformats.org/officeDocument/2006/customXml" ds:itemID="{46B64DA6-1429-450A-8F80-C808C8D80BFE}"/>
</file>

<file path=docProps/app.xml><?xml version="1.0" encoding="utf-8"?>
<Properties xmlns="http://schemas.openxmlformats.org/officeDocument/2006/extended-properties" xmlns:vt="http://schemas.openxmlformats.org/officeDocument/2006/docPropsVTypes">
  <Template>Normal</Template>
  <TotalTime>11</TotalTime>
  <Pages>4</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Kwik Kopy Camberwell</dc:creator>
  <cp:keywords/>
  <dc:description/>
  <cp:lastModifiedBy>Indigo Holcombe-James</cp:lastModifiedBy>
  <cp:revision>24</cp:revision>
  <cp:lastPrinted>2020-11-02T03:09:00Z</cp:lastPrinted>
  <dcterms:created xsi:type="dcterms:W3CDTF">2021-09-29T04:11:00Z</dcterms:created>
  <dcterms:modified xsi:type="dcterms:W3CDTF">2021-09-29T05:33:00Z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0x0101001FFAEBAC1C4B914EB06FF8215A131707</vt:lpwstr>
  </property>
</Properties>
</file>